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krypto apeluje do Prezydenta o weto. „Ta ustawa zablokuje polski kapitał i odda rynek zagranicznym podmiotom”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polskiego sektora kryptoaktywów wystosowali apel do Prezydenta RP Karola Nawrockiego o zawetowanie ustawy o rynku kryptoaktywów, przyjętej przez Sejm 26 września. W ocenie branży, obecny kształt ustawy grozi zahamowaniem rozwoju krajowych firm, wypchnięciem polskiego kapitału z rynku oraz oddaniem przewagi konkurencyjnej w ręce zagranicznych – w tym pozaunijnych – podmiotów.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Ustawa, która formalnie implementuje unijne rozporządzenie MiCA, znacząco wykracza poza jego ramy. Polska przygotowała najbardziej rozbudowaną implementację w całej Unii Europejskiej – liczącą ponad 100 stron przepisów, sankcji i obowiązków administracyjnych. Eksperci ostrzegają, że to przykład tzw. goldplatingu, czyli nadmiernego wdrażania regulacji unijnych w sposób nieproporcjonalny i niekorzystny dla krajowych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spór o kryptowaluty, tylko o konkurencyjność polskiej gospodarki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polskie firmy, finansowane z krajowego kapitału i płacące podatki w Polsce, nie będą w stanie sprostać nowym wymogom. W ich miejsce pojawią się zagraniczne podmioty, które zarejestrują się w innych państwach UE, a w Polsce będą jedynie „spijać śmietankę”. To realne ryzyko utraty tysięcy miejsc pracy, innowacji i wpływów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„Forbes Polska” (wrzesień 2025) wynika, że Polska jest jednym z najszybciej rozwijających się rynków krypto w Europie Środkowej. Już 30,9% Polaków inwestuje w kryptowaluty, czyli więcej niż w akcje (21,5%) czy obligacje (19%). Aż 71% respondentów dokonuje transakcji kilka razy w miesiącu, co dowodzi, że rynek krypto nie jest niszowy – to realny sektor gospodarki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miała realny potencjał, by stać się regionalnym liderem technologii blockchain. Jeszcze kilka lat temu w kraju działały jedne z pierwszych giełd i projektów krypto w Europie Środkowo-Wschodniej. Jak jednak przypomina Zawadzki, liderstwo to zostało utracone wskutek nadmiernie restrykcyjnej polityki Komisji Nadzoru Finansowego (KNF) – m.in. blokowania rachunków bankowych oraz opóźnień w wydawaniu zezwoleń.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projekt ustawy utrwala błędy przeszłości. Oddaje rynek w ręce zagranicznych graczy, a krajowym firmom odbiera możliwość konkurowania. Jeśli chcemy, by Polska miała własny kapitał technologiczny, musimy tworzyć prawo, które daje równe szanse i zachęca do inwestycji, a nie karze przedsiębiorców za to, że działają w Polsce </w:t>
      </w:r>
      <w:r>
        <w:rPr>
          <w:rFonts w:ascii="calibri" w:hAnsi="calibri" w:eastAsia="calibri" w:cs="calibri"/>
          <w:sz w:val="24"/>
          <w:szCs w:val="24"/>
        </w:rPr>
        <w:t xml:space="preserve">– dodaje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zgodnie podkreśla, że nie sprzeciwia się regulacjom – przeciwnie, popiera wdrożenie MiCA w duchu równych zasad obowiązujących w całej Unii Europejskiej. Jednak ustawa w obecnym kształcie: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chroni inwestorów, lecz blokuje rozwój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wspiera innowacyjności, lecz tworzy bariery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wzmacnia polskiej konkurencyjności, lecz oddaje rynek zagranicznym podmiotom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zwiększa bezpieczeństwa użytkowników, lecz spycha część działalności do szarej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przedstawiciele sektora – w tym Kanga, Next Block Expo, Izba Gospodarcza Blockchain i Nowych Technologii oraz inni liderzy branży – podpisali wspólny apel o weto prezydenckie i ponowne opracowanie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można podpisać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https://lnkd.in/d7VT5M79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musimy mówić jednym głosem. Wierzę, że Prezydent Nawrocki dostrzeże, że ta decyzja nie dotyczy tylko rynku kryptowalut, ale przyszłości polskiej gospodarki cyfrowej </w:t>
      </w:r>
      <w:r>
        <w:rPr>
          <w:rFonts w:ascii="calibri" w:hAnsi="calibri" w:eastAsia="calibri" w:cs="calibri"/>
          <w:sz w:val="24"/>
          <w:szCs w:val="24"/>
        </w:rPr>
        <w:t xml:space="preserve">– podsumowuje Sławek Zawadzki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7VT5M79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university/" TargetMode="External"/><Relationship Id="rId10" Type="http://schemas.openxmlformats.org/officeDocument/2006/relationships/hyperlink" Target="https://kanga.exchange/" TargetMode="External"/><Relationship Id="rId11" Type="http://schemas.openxmlformats.org/officeDocument/2006/relationships/hyperlink" Target="https://twitter.com/KangaExchange" TargetMode="External"/><Relationship Id="rId12" Type="http://schemas.openxmlformats.org/officeDocument/2006/relationships/hyperlink" Target="https://www.linkedin.com/company/kangaexchange" TargetMode="External"/><Relationship Id="rId13" Type="http://schemas.openxmlformats.org/officeDocument/2006/relationships/hyperlink" Target="https://www.facebook.com/kanga.exchange" TargetMode="External"/><Relationship Id="rId14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2026-06-06T07:11:08+02:00</dcterms:created>
  <dcterms:modified xsi:type="dcterms:W3CDTF">2026-06-06T07:11:08+02:00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