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Kryptowaluty wchodzą do mainstreamu. Polacy traktują je coraz poważniej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KOMENTARZ EKSPERCKI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najnowszego badania przeprowadzonego przez platformę Kraken wynika, że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kryptowaluty wyprzedziły akcje i obligacje, stając się najpopularniejszą klasą aktywów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wśród polskich inwestorów. Według raportu, w kryptowaluty inwestuje już 30,9 proc.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badanych, wobec 21,5 proc. w akcje i 19 proc. w obligacje.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aż 44,2 proc. kryptoinwestorów weszło na rynek w ciągu ostatniego roku. Ponad 70 proc. ankietowanych zadeklarowało, że zaakceptowałoby wypłatę części wynagrodzenia w kryptowalutach, co pokazuje otwartość Polaków na praktyczne zastosowania krypto. Jednocześnie większość Polaków podchodzi do rynku rozsądnie – inwestując umiarkowane kwoty i ograniczając udział kryptowalut w całym portfelu do bezpiecznych proporcji.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Sławek Zawadzki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Co-CEO Kanga Exchange</w:t>
      </w:r>
      <w:r>
        <w:rPr>
          <w:rFonts w:ascii="calibri" w:hAnsi="calibri" w:eastAsia="calibri" w:cs="calibri"/>
          <w:sz w:val="24"/>
          <w:szCs w:val="24"/>
        </w:rPr>
        <w:t xml:space="preserve">, komentuje:</w:t>
      </w:r>
    </w:p>
    <w:p>
      <w:r>
        <w:rPr>
          <w:rFonts w:ascii="calibri" w:hAnsi="calibri" w:eastAsia="calibri" w:cs="calibri"/>
          <w:sz w:val="24"/>
          <w:szCs w:val="24"/>
        </w:rPr>
        <w:t xml:space="preserve"> „Badanie potwierdza to, co obserwujemy w praktyce. Coraz więcej osób korzysta z aktywów cyfrowych nie tylko jako inwestycji, ale także w codziennym życiu. Ponad 70 proc. respondentów wyraziło gotowość do przyjęcia części wynagrodzenia w krypto – to ogromna zmiana, która pokazuje dojrzałość rynku i gotowość Polaków do przyjmowania innowacji finansowych”.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Wyzwanie dla branży: edukacja i regulacje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podkreślają, że mimo rosnącej popularności krypto, wciąż istnieje luka edukacyjna – niemal połowa badanych nigdy nie słyszała o unijnym rozporządzeniu MiCA, które już obowiązuje i stopniowo porządkuje rynek aktywów cyfrowych w Europie. Wyzwaniem dla Polski jest teraz sposób implementacji tych przepisów – czy będzie on proporcjonalny i przyjazny dla innowacji, czy też nadmiernie restrykcyjny. Dlatego branża, regulatorzy i media stoją przed wspólnym zadaniem: nie tylko edukować inwestorów, ale też budować zaufanie poprzez jasne, stabilne i konkurencyjne regulacje.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jednoznacznie wskazują, że przyszłość inwestowania w Polsce będzie cyfrowa. To, czy Polska stanie się liderem nowoczesnych finansów w regionie, zależy dziś od jakości dialogu i decyzji legislacyjnych – zbyt sztywne przepisy mogą sprawić, że inwestorzy i przedsiębiorcy wybiorą zagraniczne rynki, a nie lokalne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Sławek Zawadzki – Co-CEO Kanga Exchange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pasją rozwija świat fintechu i blockchainu od blisko 20 lat. Jego celem jest tworzenie bezpiecznych i intuicyjnych rozwiązań, które otwierają dostęp do nowoczesnych finansów dla każdego. Dzięki jego wizji i zaangażowaniu, Kanga Exchange ugruntowała swoją pozycję lidera w Polsce, jednocześnie stawiając na globalną ekspansję.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Kanga Exchange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Kanga Exchange</w:t>
      </w:r>
      <w:r>
        <w:rPr>
          <w:rFonts w:ascii="calibri" w:hAnsi="calibri" w:eastAsia="calibri" w:cs="calibri"/>
          <w:sz w:val="24"/>
          <w:szCs w:val="24"/>
        </w:rPr>
        <w:t xml:space="preserve"> to wiodąca platforma kryptowalutowa, która narodziła się w Polsce. Od 2018 roku firma ułatwia dostęp do kryptowalut, oferując ekosystem narzędzi, w tym giełdę, handel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Futures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sieć ponad 800 fizycznych punktów, które pozwalają na łatwą wymianę krypto na gotówkę i odwrotnie.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stawia również na </w:t>
      </w:r>
      <w:r>
        <w:rPr>
          <w:rFonts w:ascii="calibri" w:hAnsi="calibri" w:eastAsia="calibri" w:cs="calibri"/>
          <w:sz w:val="24"/>
          <w:szCs w:val="24"/>
          <w:b/>
        </w:rPr>
        <w:t xml:space="preserve">edukację</w:t>
      </w:r>
      <w:r>
        <w:rPr>
          <w:rFonts w:ascii="calibri" w:hAnsi="calibri" w:eastAsia="calibri" w:cs="calibri"/>
          <w:sz w:val="24"/>
          <w:szCs w:val="24"/>
        </w:rPr>
        <w:t xml:space="preserve"> swoich użytkowników, oferując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Strefę Wiedzy „Kanga University”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angażując się w promocję praktycznego zastosowania kryptowalut w codziennym życiu.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Strona www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 (X)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Telegram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/futures-101-przewodnik-krok-po-kroku" TargetMode="External"/><Relationship Id="rId8" Type="http://schemas.openxmlformats.org/officeDocument/2006/relationships/hyperlink" Target="https://kanga.exchange/university/" TargetMode="External"/><Relationship Id="rId9" Type="http://schemas.openxmlformats.org/officeDocument/2006/relationships/hyperlink" Target="https://kanga.exchange/" TargetMode="External"/><Relationship Id="rId10" Type="http://schemas.openxmlformats.org/officeDocument/2006/relationships/hyperlink" Target="https://twitter.com/KangaExchange" TargetMode="External"/><Relationship Id="rId11" Type="http://schemas.openxmlformats.org/officeDocument/2006/relationships/hyperlink" Target="https://www.linkedin.com/company/kangaexchange" TargetMode="External"/><Relationship Id="rId12" Type="http://schemas.openxmlformats.org/officeDocument/2006/relationships/hyperlink" Target="https://www.facebook.com/kanga.exchange" TargetMode="External"/><Relationship Id="rId13" Type="http://schemas.openxmlformats.org/officeDocument/2006/relationships/hyperlink" Target="https://t.me/KangaExchange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2026-09-05T08:21:27+02:00</dcterms:created>
  <dcterms:modified xsi:type="dcterms:W3CDTF">2026-09-05T08:21:27+02:00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