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Instytucje przejmują Bitcoina, Sejm dokłada niepewności – cicha rewolucja na rynku krypto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264. odcinku „Kwadransa z Kangą” Łukasz Żeligowski i Marcin Walkowski (Product Marketing Manager Kanga Exchange) odkrywają kulisy rynku, który z pozoru wydaje się spokojny. W tle jednak trwa gra o wpływy – instytucje masowo skupują Bitcoina, Ethereum zmienia właścicieli, a polski rząd może jednym ruchem wypchnąć kraj z europejskiego wyścigu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Instytucje przejmują rynek – kto naprawdę trzyma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Coinbase wynika, że aż 45% wolumenu zakupowego BTC w ostatnich trzech miesiącach pochodziło od instytucji. To już nie jest rynek spekulantów – to pole gry dla graczy długoterminowych, traktujących Bitcoina jak cyfrowe złoto.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są dane, których nie da się zignorować. Ktoś masowo skupuje Bitcoiny i to widać na poziomie hurtowym” – komentuje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rynek niemal nie zareagował na aktywację „starych bitcoinów” z 2011–2012 roku. W przeszłości podobne wydarzenia wywoływały panikę. Tym razem – spadek o zaledwie 3%, po czym szybki powrót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pokazuje, jak duży jest teraz popyt i jak silne są ręce, które trzymają Bitcoina” – dodaje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Ethereum bez fundacji? Struktura własności ulega przewrotowi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jednego dnia do ETF-ów opartych na Ethereum napłynęło 533 miliony dolarów. To rekord – i dowód na to, że Ethereum staje się drugim wyborem instytucji. Jeszcze ciekawsze jest to, kto teraz trzyma największy pakiet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Ethereum spadła na trzecie miejsce. Najwięcej ETH ma teraz Bitmine Immersion Tech, a zaraz za nią Sharplink Gaming” – mówi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rozproszenie władzy? A może początek całkowicie nowego etapu w historii Ethereum?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dowód na decentralizację – ETH przestaje być zależne od jednej centralnej organizacji” – dodaje ekspert.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DCA – strategia dla cierpliwych, która zmienia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być traderem, żeby odnieść sukces. Strategia DCA (Dollar-Cost Averaging) – czyli systematyczne zakupy za stałą kwotę – może dać zdumiewające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Gdyby ktoś od 2015 roku codziennie przez godzinę pracował za amerykańską płacę minimalną i inwestował to w BTC, dziś miałby ponad </w:t>
      </w:r>
      <w:r>
        <w:rPr>
          <w:rFonts w:ascii="calibri" w:hAnsi="calibri" w:eastAsia="calibri" w:cs="calibri"/>
          <w:sz w:val="24"/>
          <w:szCs w:val="24"/>
          <w:b/>
        </w:rPr>
        <w:t xml:space="preserve">12 bitcoinów</w:t>
      </w:r>
      <w:r>
        <w:rPr>
          <w:rFonts w:ascii="calibri" w:hAnsi="calibri" w:eastAsia="calibri" w:cs="calibri"/>
          <w:sz w:val="24"/>
          <w:szCs w:val="24"/>
        </w:rPr>
        <w:t xml:space="preserve"> – czyli niemal </w:t>
      </w:r>
      <w:r>
        <w:rPr>
          <w:rFonts w:ascii="calibri" w:hAnsi="calibri" w:eastAsia="calibri" w:cs="calibri"/>
          <w:sz w:val="24"/>
          <w:szCs w:val="24"/>
          <w:b/>
        </w:rPr>
        <w:t xml:space="preserve">1,5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mieć kapitału na start. Wystarczy czas i konsekwencja” – przypomina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Kandze strategię tę można zrealizować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Auto Buy</w:t>
      </w:r>
      <w:r>
        <w:rPr>
          <w:rFonts w:ascii="calibri" w:hAnsi="calibri" w:eastAsia="calibri" w:cs="calibri"/>
          <w:sz w:val="24"/>
          <w:szCs w:val="24"/>
        </w:rPr>
        <w:t xml:space="preserve"> – cykliczne zakupy kryptowalut za pomocą przelewów bankowych pozwalają budować pozycję bez stresu i emocji.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 ustawa o kryptowalutach – ewolucja czy samobój?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szykuje własną ustawę o kryptowalutach. Brzmi dobrze? Nie tym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być ostrzejsze niż wymagają tego regulacje unijne (MiCA). Zamiast harmonizacji – ryzyko odstraszenia innowatorów.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co robią, woła o pomstę do nieba. Polska chce być świętsza od papieża – i to się zemści” – ocenia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rygorystyczne prawo może sprawić, że firmy kryptowalutowe wybiorą inne kraje. Bo jeśli we Włoszech podatki są niższe, a urzędnicy mniej uciążliwi – decyzja jest prosta.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emocje. To czysta kalkulacja” – podsumowuje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Społeczność, staking i nagrody – Kanga stawia na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Zili</w:t>
      </w:r>
      <w:r>
        <w:rPr>
          <w:rFonts w:ascii="calibri" w:hAnsi="calibri" w:eastAsia="calibri" w:cs="calibri"/>
          <w:sz w:val="24"/>
          <w:szCs w:val="24"/>
        </w:rPr>
        <w:t xml:space="preserve"> nowi użytkownicy mogą otrzymać 25 USDC za spełnienie prostych warunków, a dotychczasowi – 10 USDC za udział w stakingu. Program ambasadorski i system poleceń to kolejne okazje do zdobywania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cotygodniowym konkursie społeczność typuje kurs BTC na wtorek godz. 9:00, dodając frazę „Bitcoin równa się…”. Do wygrania – 67 tokenów KNG.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Cisza przed burzą – rynek szykuje się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akumulują Bitcoina, Ethereum zmienia właścicieli, ETF-y puchną, a polskie prawo może zrewolucjonizować lokalny rynek – tylko niekoniecznie w dobrą stronę. Wszystko to dzieje się w czasie, gdy ceny są w konsolidacji.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może być jeden z najlepszych momentów do działania – zanim rynek się przebudzi i zmieni wszystko na oczach świata” – konkludują 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-i6nlFJD2v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2026-03-13T08:39:53+01:00</dcterms:created>
  <dcterms:modified xsi:type="dcterms:W3CDTF">2026-03-13T08:39:53+01:00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