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Koszty, biurokracja i wymagania na wyrost – MiCA stawia wyzwania przed firmami kryptowalutowymi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Rozporządzenie MiCA (Markets in Crypto-Assets) to pierwszy kompleksowy akt prawny Unii Europejskiej regulujący rynek kryptowalut. Jego głównym celem jest uporządkowanie tego rynku i zapewnienie lepszej ochrony konsumentów. Jednak nowe przepisy stanowią poważne wyzwanie, zwłaszcza dla polskich firm z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Regulacje, które w pełni wejdą w życie pod koniec 2024 roku, wzbudzają mieszane uczucia: od nadziei na stabilizację rynku po obawy o ich wpływ na mniejsze podmioty.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Wpływ MiCA na polski rynek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zauważa Łukasz Żeligowski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Exchange</w:t>
        </w:r>
      </w:hyperlink>
      <w:r>
        <w:rPr>
          <w:rFonts w:ascii="calibri" w:hAnsi="calibri" w:eastAsia="calibri" w:cs="calibri"/>
          <w:sz w:val="24"/>
          <w:szCs w:val="24"/>
        </w:rPr>
        <w:t xml:space="preserve">, adaptacja do nowych wymogów oznacza znaczne koszty finansowe i czasowe.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"Wdrożenie MiCA oznacza dla nas konieczność stworzenia nowych procesów, aktualizacji procedur KYC/AML oraz spełnienia restrykcyjnych wymagań raportowych. Niestety, wiele z tych wymogów wydaje się nadmiarowych i nie wpływa bezpośrednio na bezpieczeństwo klienta, a jedynie zwiększa obciążenie dla naszych zasobów" – wyjaśnia Żeligowski.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Mniejsze firmy kryptowalutowe mogą mieć trudności z pokryciem kosztów dostosowania, które obejmują zatrudnienie specjalistów i inwestycje w zaawansowane technologie. Zdaniem Żeligowskiego, przepisy te wspierają głównie duże korporacje, co utrudnia konkurencję na rynku.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Szanse i zagrożenia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Zwolennicy regulacji wskazują, że MiCA może ułatwić działalność transgraniczną dzięki ujednoliceniu przepisów w całej UE. Niemniej jednak, wielu przedsiębiorców dostrzega nadmiar wymogów administracyjnych oraz brak elastyczności regulacji.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precyzyjnych wytycznych powoduje ryzyko błędów podczas wdrażania przepisów. Przepisy często pozostawiają zbyt szerokie pole do interpretacji, co utrudnia ich implementację w praktyce.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Przyszłość polskiego rynku kryptowalut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wyzwań związanych z MiCA, polskie firmy, takie jak Kanga, starają się dostosować do nowych wymogów. Jednocześnie podkreślają potrzebę zmian, które lepiej uwzględnią lokalne realia i specyfikę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"Chcemy działać zgodnie z przepisami, ale jednocześnie widzimy konieczność wprowadzenia zmian, które będą bardziej dostosowane do rzeczywistości naszego rynku. MiCA może być krokiem w dobrą stronę, pod warunkiem że regulacje będą przemyślane i wspierały innowacyjność" - mówi Żeligowski.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2026-02-24T10:54:07+01:00</dcterms:created>
  <dcterms:modified xsi:type="dcterms:W3CDTF">2026-02-24T10:54:07+01:00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