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prezydent, nowa szansa na partnerski dialog o przyszłości kryptowalut w Polsce</w:t>
      </w:r>
    </w:p>
    <w:p>
      <w:pPr>
        <w:spacing w:before="0" w:after="500" w:line="264" w:lineRule="auto"/>
      </w:pPr>
      <w:r>
        <w:rPr>
          <w:rFonts w:ascii="calibri" w:hAnsi="calibri" w:eastAsia="calibri" w:cs="calibri"/>
          <w:sz w:val="36"/>
          <w:szCs w:val="36"/>
          <w:b/>
        </w:rPr>
        <w:t xml:space="preserve">GDAŃSK, 7 sierpnia 2025 r. – Po zaprzysiężenia nowego Prezydenta Rzeczypospolitej Polskiej, Kanga Exchange – jedna z wiodących platform kryptowalutowych w kraju – wyraża nadzieję, że nadchodząca kadencja będzie początkiem bardziej konstruktywnego i merytorycznego dialogu o przyszłości rynku cyfrowych aktywów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W kontekście toczących się prac nad ustawą wdrażającą unijne rozporządzenie MiCA, branża krypto potrzebuje dziś nie tylko regulacji, ale przede wszystkim zrozumienia jej specyfiki i olbrzymiego potencjału, który może napędzać polską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Łukasz Żeligowski, Co-CEO Kanga Exchange, komentuje:</w:t>
      </w:r>
    </w:p>
    <w:p>
      <w:pPr>
        <w:spacing w:before="0" w:after="300"/>
      </w:pPr>
      <w:r>
        <w:rPr>
          <w:rFonts w:ascii="calibri" w:hAnsi="calibri" w:eastAsia="calibri" w:cs="calibri"/>
          <w:sz w:val="24"/>
          <w:szCs w:val="24"/>
          <w:i/>
          <w:iCs/>
        </w:rPr>
        <w:t xml:space="preserve">„Wraz z objęciem urzędu przez Prezydenta Nawrockiego mamy symboliczną szansę na nowy rozdział – również w podejściu państwa do technologii i innowacji. Rynek krypto zasługuje na regulacje – tego nikt dziś nie kwestionuje. Ale te regulacje muszą być mądre, proporcjonalne i nie mogą podcinać skrzydeł przedsiębiorczości. Mamy nadzieję, że nowa głowa państwa będzie sprzyjać otwartemu dialogowi między rządem, branżą i społeczeństwem. Polska może być liderem nowoczesnych finansów – pod warunkiem, że nie zamkniemy się na innowacje”.</w:t>
      </w:r>
    </w:p>
    <w:p>
      <w:pPr>
        <w:spacing w:before="0" w:after="300"/>
      </w:pPr>
      <w:r>
        <w:rPr>
          <w:rFonts w:ascii="calibri" w:hAnsi="calibri" w:eastAsia="calibri" w:cs="calibri"/>
          <w:sz w:val="24"/>
          <w:szCs w:val="24"/>
        </w:rPr>
        <w:t xml:space="preserve">Kanga przypomina, że obecna wersja ustawy – mimo deklarowanego celu implementacji rozporządzenia MiCA – w wielu miejscach przewiduje bardziej restrykcyjne rozwiązania niż wymagania unijne. Dotyczy to m.in. nieproporcjonalnych opłat nadzorczych, zbyt krótkiego okresu przejściowego czy bardzo szerokich kompetencji nadzorczych dla KNF. Takie zapisy, zamiast chronić, mogą nieumyślnie wypchnąć polskie firmy i kapitał za granicę.</w:t>
      </w:r>
    </w:p>
    <w:p>
      <w:pPr>
        <w:spacing w:before="0" w:after="300"/>
      </w:pPr>
      <w:r>
        <w:rPr>
          <w:rFonts w:ascii="calibri" w:hAnsi="calibri" w:eastAsia="calibri" w:cs="calibri"/>
          <w:sz w:val="24"/>
          <w:szCs w:val="24"/>
        </w:rPr>
        <w:t xml:space="preserve">Lipcowa sejmowa debata nad projektem ustawy pokazała skalę kontrowersji i potrzebę dalszych prac nad jej kształtem. Kanga apeluje do decydentów o zaproszenie przedstawicieli rynku do realnego, a nie pozorowanego dialogu.</w:t>
      </w:r>
    </w:p>
    <w:p>
      <w:pPr>
        <w:spacing w:before="0" w:after="300"/>
      </w:pPr>
      <w:r>
        <w:rPr>
          <w:rFonts w:ascii="calibri" w:hAnsi="calibri" w:eastAsia="calibri" w:cs="calibri"/>
          <w:sz w:val="24"/>
          <w:szCs w:val="24"/>
          <w:i/>
          <w:iCs/>
        </w:rPr>
        <w:t xml:space="preserve">„Zachęcamy Kancelarię Prezydenta do spotkania z przedstawicielami rynku, by wspólnie wypracować najlepsze rozwiązania dla polskiego sektora kryptowalut. Jesteśmy gotowi do dialogu i współpracy”</w:t>
      </w:r>
      <w:r>
        <w:rPr>
          <w:rFonts w:ascii="calibri" w:hAnsi="calibri" w:eastAsia="calibri" w:cs="calibri"/>
          <w:sz w:val="24"/>
          <w:szCs w:val="24"/>
        </w:rPr>
        <w:t xml:space="preserve"> – dodaje Żeligowski.</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b/>
        </w:rPr>
        <w:t xml:space="preserve">Łukasz Żeligowski</w:t>
      </w:r>
      <w:r>
        <w:rPr>
          <w:rFonts w:ascii="calibri" w:hAnsi="calibri" w:eastAsia="calibri" w:cs="calibri"/>
          <w:sz w:val="24"/>
          <w:szCs w:val="24"/>
        </w:rPr>
        <w:t xml:space="preserve"> to Co-CEO i Chief Technology Officer w Kanga Exchange – lider, który zamiast gonić za trendami, wyznacza je. Dzięki bogatemu doświadczeniu w zarządzaniu infrastrukturą IT i tworzeniu skalowalnych rozwiązań, odpowiada za strategiczny rozwój technologiczny jednej z najszybciej rozwijających się giełd kryptowalut.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Kieruje zespołami odpowiedzialnymi za rozwój oprogramowania, automatyzację procesów i bezpieczeństwo systemów. Dzięki jego podejściu, Kanga z powodzeniem wdraża innowacje, które podnoszą jakość obsługi, użyteczność i bezpieczeństwo giełdy.</w:t>
      </w:r>
    </w:p>
    <w:p>
      <w:pPr>
        <w:spacing w:before="0" w:after="300"/>
      </w:pPr>
      <w:r>
        <w:rPr>
          <w:rFonts w:ascii="calibri" w:hAnsi="calibri" w:eastAsia="calibri" w:cs="calibri"/>
          <w:sz w:val="24"/>
          <w:szCs w:val="24"/>
        </w:rPr>
        <w:t xml:space="preserve">Łukasz wierzy, że nowoczesna technologia to nie tylko kod, ale także umiejętność szybkiego reagowania, strategicznego myślenia i budowania rozwiązań, które odpowiadają na realne potrzeby klientów. Jego styl pracy łączy technologiczną wizję z operacyjną skutecznością, a każdy projekt traktuje jako szansę na przesunięcie granic możliwości.</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2025-10-10T18:26:22+02:00</dcterms:created>
  <dcterms:modified xsi:type="dcterms:W3CDTF">2025-10-10T18:26:22+02:00</dcterms:modified>
</cp:coreProperties>
</file>

<file path=docProps/custom.xml><?xml version="1.0" encoding="utf-8"?>
<Properties xmlns="http://schemas.openxmlformats.org/officeDocument/2006/custom-properties" xmlns:vt="http://schemas.openxmlformats.org/officeDocument/2006/docPropsVTypes"/>
</file>