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Prezydentura Nawrockiego a przyszłość kryptowalut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czerwca 2025 r. – Czy wybory prezydenckie mogą mieć realny wpływ na rozwój rynku kryptowalut w Polsce? W 256. odcinku programu „Kwadrans z Kangą” prowadzący – Sławek Zawadzki, prezes Kanga Exchange, oraz Marcin Sławiński, współtwórca programu, komentują zwycięstwo Karola Nawrockiego, który jako jedyny kandydat w kampanii wyborczej odniósł się wprost do kwestii regulacji rynku cyfrowych aktywów. Jego deklaracja o tym, że nie podpisze ustawy implementującej unijne rozporządzenie MiCA, jeśli zawierać będzie dodatkowe obostrzenia, wzbudziła spore zainteresowanie w branży. – Jeśli prezydent dotrzyma słowa, może to być najlepszy prezydent dla rynku kryptowalut, jakiego Polska miała – ocenił prezes Kanga Exchange. To pierwszy raz, kiedy temat kryptowalut wszedł do debaty publicznej nie jako zagrożenie, ale jako normalny element gospodarki.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Bitcoin w konsolidacji, ale rynek nie śpi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ceny Bitcoina w ostatnich dniach poruszają się w wąskim zakresie, dane z narzędzia Fire Charts pokazują, że duzi gracze – tzw. „wieloryby” – przygotowują się do obrony poziomu 103 000 $arów. </w:t>
      </w:r>
      <w:r>
        <w:rPr>
          <w:rFonts w:ascii="calibri" w:hAnsi="calibri" w:eastAsia="calibri" w:cs="calibri"/>
          <w:sz w:val="24"/>
          <w:szCs w:val="24"/>
          <w:b/>
        </w:rPr>
        <w:t xml:space="preserve">Widoczna jest także bycza dywergencja na RSI, która może zwiastować zmianę trendu.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To bardzo ciekawy moment – zaznaczył współtwórca programu. – Ceny niby stoją w miejscu, ale dane pokazują, że coś się zbiera. I że ktoś się do tego przygotowuje.</w:t>
      </w:r>
      <w:r>
        <w:rPr>
          <w:rFonts w:ascii="calibri" w:hAnsi="calibri" w:eastAsia="calibri" w:cs="calibri"/>
          <w:sz w:val="24"/>
          <w:szCs w:val="24"/>
        </w:rPr>
        <w:t xml:space="preserve"> Obaj gospodarze zgodnie podkreślili, że takie sygnały często poprzedzają dynamiczne ruchy cenowe i są czytelne wyłącznie dla tych, którzy analizują głębokość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Saylor i pytanie o zaufanie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odcinku pojawił się również temat </w:t>
      </w:r>
      <w:r>
        <w:rPr>
          <w:rFonts w:ascii="calibri" w:hAnsi="calibri" w:eastAsia="calibri" w:cs="calibri"/>
          <w:sz w:val="24"/>
          <w:szCs w:val="24"/>
          <w:b/>
        </w:rPr>
        <w:t xml:space="preserve">Michaela Saylora</w:t>
      </w:r>
      <w:r>
        <w:rPr>
          <w:rFonts w:ascii="calibri" w:hAnsi="calibri" w:eastAsia="calibri" w:cs="calibri"/>
          <w:sz w:val="24"/>
          <w:szCs w:val="24"/>
        </w:rPr>
        <w:t xml:space="preserve"> i jego firmy MicroStrategy, która przez lata akumulowała Bitcoina na ogromną skalę. </w:t>
      </w:r>
      <w:r>
        <w:rPr>
          <w:rFonts w:ascii="calibri" w:hAnsi="calibri" w:eastAsia="calibri" w:cs="calibri"/>
          <w:sz w:val="24"/>
          <w:szCs w:val="24"/>
          <w:b/>
        </w:rPr>
        <w:t xml:space="preserve">Prowadzący zwrócili uwagę, że Saylor wciąż nie przedstawił tzw. proof of reserve, czyli potwierdzenia, że posiadane przez firmę BTC rzeczywiście są zabezpieczone i dostępne.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Jeśli okaże się, że tych bitcoinów nie ma, albo że nie są one kontrolowane przez MicroStrategy, może to być finansowy wybuch nuklearny</w:t>
      </w:r>
      <w:r>
        <w:rPr>
          <w:rFonts w:ascii="calibri" w:hAnsi="calibri" w:eastAsia="calibri" w:cs="calibri"/>
          <w:sz w:val="24"/>
          <w:szCs w:val="24"/>
        </w:rPr>
        <w:t xml:space="preserve"> – przestrzegał Sławek Zawadzki. </w:t>
      </w:r>
      <w:r>
        <w:rPr>
          <w:rFonts w:ascii="calibri" w:hAnsi="calibri" w:eastAsia="calibri" w:cs="calibri"/>
          <w:sz w:val="24"/>
          <w:szCs w:val="24"/>
          <w:b/>
        </w:rPr>
        <w:t xml:space="preserve">Zaufanie to fundament całego rynku – a brak przejrzystości może kosztować więcej, niż jakiekolwiek spadki.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Sądowy przełom i symboliczna rehabilitacja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odniesiono się również do przełomowej decyzji w sprawie giełdy Kanga. </w:t>
      </w:r>
      <w:r>
        <w:rPr>
          <w:rFonts w:ascii="calibri" w:hAnsi="calibri" w:eastAsia="calibri" w:cs="calibri"/>
          <w:sz w:val="24"/>
          <w:szCs w:val="24"/>
          <w:b/>
        </w:rPr>
        <w:t xml:space="preserve">Po niemal trzech latach od wpisu na listę ostrzeżeń i trwającego postępowania, sąd prawomocnie podtrzymał decyzję o jego umorzeniu.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Przez lata byliśmy traktowani jak trędowaci. Nawet w naszej branży wielu ludzi bało się z nami rozmawiać – mówił prezes Kanga Exchange. – To była realna stygmatyzacja. Teraz przynajmniej mamy dowód, że byliśmy oczerniani bez podstaw.</w:t>
      </w:r>
      <w:r>
        <w:rPr>
          <w:rFonts w:ascii="calibri" w:hAnsi="calibri" w:eastAsia="calibri" w:cs="calibri"/>
          <w:sz w:val="24"/>
          <w:szCs w:val="24"/>
        </w:rPr>
        <w:t xml:space="preserve"> Choć wpis instytucjonalny nadal widnieje, decyzja sądu jest – jak podkreślono – symbolem i początkiem powrotu do normalności.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Bezpieczeństwo, rozwój i nowe projekty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giełdzie pojawiły się nowe funkcje zwiększające bezpieczeństwo użytkowników – m.in. kod antyphishingowy oraz white-lista wypłat, czyli możliwość zdefiniowania adresów, na które można wypłacać środki. </w:t>
      </w:r>
      <w:r>
        <w:rPr>
          <w:rFonts w:ascii="calibri" w:hAnsi="calibri" w:eastAsia="calibri" w:cs="calibri"/>
          <w:sz w:val="24"/>
          <w:szCs w:val="24"/>
          <w:b/>
        </w:rPr>
        <w:t xml:space="preserve">Dodano także trzy nowe listingi: blockchain Hedera (HBAR), projekt Virtual łączący AI i gaming oraz Next – inicjatywę opartą na cyfrowej gospodarce społecznościowej.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Nie wrzucamy na giełdę wszystkiego jak leci – zaznaczył Marcin Sławiński. – Selekcjonujemy projekty, które mają wartość i potencjał, a nie są tylko chwilowym hype’em.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globalna – dolar traci udział w rezerwach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pokazują, że udział dolara w rezerwach banków centralnych na świecie systematycznie spada – obecnie wynosi 57%, ale prognozy mówią o zejściu poniżej 40% w ciągu 10–15 lat. </w:t>
      </w:r>
      <w:r>
        <w:rPr>
          <w:rFonts w:ascii="calibri" w:hAnsi="calibri" w:eastAsia="calibri" w:cs="calibri"/>
          <w:sz w:val="24"/>
          <w:szCs w:val="24"/>
          <w:b/>
        </w:rPr>
        <w:t xml:space="preserve">Banki centralne coraz chętniej sięgają po złoto – a nie jest wykluczone, że w przyszłości także po Bitcoina.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Złoto wraca do łask, bo nie da się go dodrukować. Bitcoin ma tę samą cechę – nie zależy od polityków, tylko od matematyki</w:t>
      </w:r>
      <w:r>
        <w:rPr>
          <w:rFonts w:ascii="calibri" w:hAnsi="calibri" w:eastAsia="calibri" w:cs="calibri"/>
          <w:sz w:val="24"/>
          <w:szCs w:val="24"/>
        </w:rPr>
        <w:t xml:space="preserve"> – podkreślił Sławek Zawadzki. </w:t>
      </w:r>
      <w:r>
        <w:rPr>
          <w:rFonts w:ascii="calibri" w:hAnsi="calibri" w:eastAsia="calibri" w:cs="calibri"/>
          <w:sz w:val="24"/>
          <w:szCs w:val="24"/>
          <w:b/>
        </w:rPr>
        <w:t xml:space="preserve">To nie chwilowy trend, lecz długoterminowa zmiana zaufania wobec walut fiducjarnych.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Ethereum, ETF-y i widmo altseason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emocje w branży budzi temat ETF-ów stakingowych Ethereum. Choć produkt jest gotowy, wciąż nie został dopuszczony do handlu w USA. </w:t>
      </w:r>
      <w:r>
        <w:rPr>
          <w:rFonts w:ascii="calibri" w:hAnsi="calibri" w:eastAsia="calibri" w:cs="calibri"/>
          <w:sz w:val="24"/>
          <w:szCs w:val="24"/>
          <w:b/>
        </w:rPr>
        <w:t xml:space="preserve">Zdaniem prowadzących, jego uruchomienie mogłoby rozpocząć prawdziwą falę wzrostów wśród altcoinów.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Jeśli BTC wybije nowe ATH, altcoiny ruszą z impetem – ocenił współtwórca programu. – Ale bez tego nie ma szans na prawdziwy altseason.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Społeczność trzyma kurs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odcinku nie zabrakło również tradycyjnego konkursu. </w:t>
      </w:r>
      <w:r>
        <w:rPr>
          <w:rFonts w:ascii="calibri" w:hAnsi="calibri" w:eastAsia="calibri" w:cs="calibri"/>
          <w:sz w:val="24"/>
          <w:szCs w:val="24"/>
          <w:b/>
        </w:rPr>
        <w:t xml:space="preserve">Najbliżej trafnej prognozy ceny Bitcoina była Jolanta_F3K, która wygrała tokeny KNG.</w:t>
      </w:r>
      <w:r>
        <w:rPr>
          <w:rFonts w:ascii="calibri" w:hAnsi="calibri" w:eastAsia="calibri" w:cs="calibri"/>
          <w:sz w:val="24"/>
          <w:szCs w:val="24"/>
        </w:rPr>
        <w:t xml:space="preserve"> Jak podkreślili prowadzący, w kolejnych tygodniach nagrody będą przyznawane nie tylko za celność, ale też za aktywność w komentarzach. – </w:t>
      </w:r>
      <w:r>
        <w:rPr>
          <w:rFonts w:ascii="calibri" w:hAnsi="calibri" w:eastAsia="calibri" w:cs="calibri"/>
          <w:sz w:val="24"/>
          <w:szCs w:val="24"/>
          <w:b/>
        </w:rPr>
        <w:t xml:space="preserve">To dzięki tej społeczności Kanga jest tym, czym jest. I chcemy to doceniać</w:t>
      </w:r>
      <w:r>
        <w:rPr>
          <w:rFonts w:ascii="calibri" w:hAnsi="calibri" w:eastAsia="calibri" w:cs="calibri"/>
          <w:sz w:val="24"/>
          <w:szCs w:val="24"/>
        </w:rPr>
        <w:t xml:space="preserve"> – dodał Sławek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Hodluję Bitcoina i uczę tego moje dzieci – podsumował prezes Kanga Exchange. – Bo to nie tylko inwestycja. To wybór, który oznacza niezależność, odpowiedzialność i wiarę w długoterminową wartość.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materiał dostępny jest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WGyl-54uYxQ" TargetMode="External"/><Relationship Id="rId8" Type="http://schemas.openxmlformats.org/officeDocument/2006/relationships/hyperlink" Target="https://www.youtube.com/watch?v=fRZO0k2prkw&amp;amp;amp;ab_channel=Ka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2026-09-17T14:50:39+02:00</dcterms:created>
  <dcterms:modified xsi:type="dcterms:W3CDTF">2026-09-17T14:50:39+02:00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