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Prezydentura Nawrockiego a przyszłość kryptowalut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czerwca 2025 r. – Czy wybory prezydenckie mogą mieć realny wpływ na rozwój rynku kryptowalut w Polsce? W 256. odcinku programu „Kwadrans z Kangą” prowadzący – Sławek Zawadzki, prezes Kanga Exchange, oraz Marcin Sławiński, współtwórca programu, komentują zwycięstwo Karola Nawrockiego, który jako jedyny kandydat w kampanii wyborczej odniósł się wprost do kwestii regulacji rynku cyfrowych aktywów. Jego deklaracja o tym, że nie podpisze ustawy implementującej unijne rozporządzenie MiCA, jeśli zawierać będzie dodatkowe obostrzenia, wzbudziła spore zainteresowanie w branży. – Jeśli prezydent dotrzyma słowa, może to być najlepszy prezydent dla rynku kryptowalut, jakiego Polska miała – ocenił prezes Kanga Exchange. To pierwszy raz, kiedy temat kryptowalut wszedł do debaty publicznej nie jako zagrożenie, ale jako normalny element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konsolidacji, ale rynek nie śpi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ceny Bitcoina w ostatnich dniach poruszają się w wąskim zakresie, dane z narzędzia Fire Charts pokazują, że duzi gracze – tzw. „wieloryby” – przygotowują się do obrony poziomu 103 000 $arów.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także bycza dywergencja na RSI, która może zwiastować zmianę trendu.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 bardzo ciekawy moment – zaznaczył współtwórca programu. – Ceny niby stoją w miejscu, ale dane pokazują, że coś się zbiera. I że ktoś się do tego przygotowuje.</w:t>
      </w:r>
      <w:r>
        <w:rPr>
          <w:rFonts w:ascii="calibri" w:hAnsi="calibri" w:eastAsia="calibri" w:cs="calibri"/>
          <w:sz w:val="24"/>
          <w:szCs w:val="24"/>
        </w:rPr>
        <w:t xml:space="preserve"> Obaj gospodarze zgodnie podkreślili, że takie sygnały często poprzedzają dynamiczne ruchy cenowe i są czytelne wyłącznie dla tych, którzy analizują głębokość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Saylor i pytanie o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pojawił się również temat </w:t>
      </w:r>
      <w:r>
        <w:rPr>
          <w:rFonts w:ascii="calibri" w:hAnsi="calibri" w:eastAsia="calibri" w:cs="calibri"/>
          <w:sz w:val="24"/>
          <w:szCs w:val="24"/>
          <w:b/>
        </w:rPr>
        <w:t xml:space="preserve">Michaela Saylora</w:t>
      </w:r>
      <w:r>
        <w:rPr>
          <w:rFonts w:ascii="calibri" w:hAnsi="calibri" w:eastAsia="calibri" w:cs="calibri"/>
          <w:sz w:val="24"/>
          <w:szCs w:val="24"/>
        </w:rPr>
        <w:t xml:space="preserve"> i jego firmy MicroStrategy, która przez lata akumulowała Bitcoina na ogromną skalę.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zwrócili uwagę, że Saylor wciąż nie przedstawił tzw. proof of reserve, czyli potwierdzenia, że posiadane przez firmę BTC rzeczywiście są zabezpieczone i dostępne.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okaże się, że tych bitcoinów nie ma, albo że nie są one kontrolowane przez MicroStrategy, może to być finansowy wybuch nuklearny</w:t>
      </w:r>
      <w:r>
        <w:rPr>
          <w:rFonts w:ascii="calibri" w:hAnsi="calibri" w:eastAsia="calibri" w:cs="calibri"/>
          <w:sz w:val="24"/>
          <w:szCs w:val="24"/>
        </w:rPr>
        <w:t xml:space="preserve"> – przestrzegał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to fundament całego rynku – a brak przejrzystości może kosztować więcej, niż jakiekolwiek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Sądowy przełom i symboliczna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odniesiono się również do przełomowej decyzji w sprawie giełdy Kanga. </w:t>
      </w:r>
      <w:r>
        <w:rPr>
          <w:rFonts w:ascii="calibri" w:hAnsi="calibri" w:eastAsia="calibri" w:cs="calibri"/>
          <w:sz w:val="24"/>
          <w:szCs w:val="24"/>
          <w:b/>
        </w:rPr>
        <w:t xml:space="preserve">Po niemal trzech latach od wpisu na listę ostrzeżeń i trwającego postępowania, sąd prawomocnie podtrzymał decyzję o jego umorzeniu.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Przez lata byliśmy traktowani jak trędowaci. Nawet w naszej branży wielu ludzi bało się z nami rozmawiać – mówił prezes Kanga Exchange. – To była realna stygmatyzacja. Teraz przynajmniej mamy dowód, że byliśmy oczerniani bez podstaw.</w:t>
      </w:r>
      <w:r>
        <w:rPr>
          <w:rFonts w:ascii="calibri" w:hAnsi="calibri" w:eastAsia="calibri" w:cs="calibri"/>
          <w:sz w:val="24"/>
          <w:szCs w:val="24"/>
        </w:rPr>
        <w:t xml:space="preserve"> Choć wpis instytucjonalny nadal widnieje, decyzja sądu jest – jak podkreślono – symbolem i początkiem powrotu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Bezpieczeństwo, rozwój i nowe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pojawiły się nowe funkcje zwiększające bezpieczeństwo użytkowników – m.in. kod antyphishingowy oraz white-lista wypłat, czyli możliwość zdefiniowania adresów, na które można wypłacać środki. </w:t>
      </w:r>
      <w:r>
        <w:rPr>
          <w:rFonts w:ascii="calibri" w:hAnsi="calibri" w:eastAsia="calibri" w:cs="calibri"/>
          <w:sz w:val="24"/>
          <w:szCs w:val="24"/>
          <w:b/>
        </w:rPr>
        <w:t xml:space="preserve">Dodano także trzy nowe listingi: blockchain Hedera (HBAR), projekt Virtual łączący AI i gaming oraz Next – inicjatywę opartą na cyfrowej gospodarce społecznościowej.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 wrzucamy na giełdę wszystkiego jak leci – zaznaczył Marcin Sławiński. – Selekcjonujemy projekty, które mają wartość i potencjał, a nie są tylko chwilowym hype’em.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globalna – dolar traci udział w rezerwach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udział dolara w rezerwach banków centralnych na świecie systematycznie spada – obecnie wynosi 57%, ale prognozy mówią o zejściu poniżej 40% w ciągu 10–15 lat. </w:t>
      </w:r>
      <w:r>
        <w:rPr>
          <w:rFonts w:ascii="calibri" w:hAnsi="calibri" w:eastAsia="calibri" w:cs="calibri"/>
          <w:sz w:val="24"/>
          <w:szCs w:val="24"/>
          <w:b/>
        </w:rPr>
        <w:t xml:space="preserve">Banki centralne coraz chętniej sięgają po złoto – a nie jest wykluczone, że w przyszłości także po Bitcoina.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Złoto wraca do łask, bo nie da się go dodrukować. Bitcoin ma tę samą cechę – nie zależy od polityków, tylko od matematyki</w:t>
      </w:r>
      <w:r>
        <w:rPr>
          <w:rFonts w:ascii="calibri" w:hAnsi="calibri" w:eastAsia="calibri" w:cs="calibri"/>
          <w:sz w:val="24"/>
          <w:szCs w:val="24"/>
        </w:rPr>
        <w:t xml:space="preserve"> – podkreślił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chwilowy trend, lecz długoterminowa zmiana zaufania wobec walut fiducjarnych.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Ethereum, ETF-y i widmo altseason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emocje w branży budzi temat ETF-ów stakingowych Ethereum. Choć produkt jest gotowy, wciąż nie został dopuszczony do handlu w USA.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prowadzących, jego uruchomienie mogłoby rozpocząć prawdziwą falę wzrostów wśród altcoinów.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BTC wybije nowe ATH, altcoiny ruszą z impetem – ocenił współtwórca programu. – Ale bez tego nie ma szans na prawdziwy altseason.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trzyma 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nie zabrakło również tradycyjnego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Najbliżej trafnej prognozy ceny Bitcoina była Jolanta_F3K, która wygrała tokeny KNG.</w:t>
      </w:r>
      <w:r>
        <w:rPr>
          <w:rFonts w:ascii="calibri" w:hAnsi="calibri" w:eastAsia="calibri" w:cs="calibri"/>
          <w:sz w:val="24"/>
          <w:szCs w:val="24"/>
        </w:rPr>
        <w:t xml:space="preserve"> Jak podkreślili prowadzący, w kolejnych tygodniach nagrody będą przyznawane nie tylko za celność, ale też za aktywność w komentarzach. – </w:t>
      </w:r>
      <w:r>
        <w:rPr>
          <w:rFonts w:ascii="calibri" w:hAnsi="calibri" w:eastAsia="calibri" w:cs="calibri"/>
          <w:sz w:val="24"/>
          <w:szCs w:val="24"/>
          <w:b/>
        </w:rPr>
        <w:t xml:space="preserve">To dzięki tej społeczności Kanga jest tym, czym jest. I chcemy to doceniać</w:t>
      </w:r>
      <w:r>
        <w:rPr>
          <w:rFonts w:ascii="calibri" w:hAnsi="calibri" w:eastAsia="calibri" w:cs="calibri"/>
          <w:sz w:val="24"/>
          <w:szCs w:val="24"/>
        </w:rPr>
        <w:t xml:space="preserve"> – dodał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Hodluję Bitcoina i uczę tego moje dzieci – podsumował prezes Kanga Exchange. – Bo to nie tylko inwestycja. To wybór, który oznacza niezależność, odpowiedzialność i wiarę w długoterminową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Gyl-54uYxQ" TargetMode="External"/><Relationship Id="rId8" Type="http://schemas.openxmlformats.org/officeDocument/2006/relationships/hyperlink" Target="https://www.youtube.com/watch?v=fRZO0k2prkw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2025-10-10T18:00:30+02:00</dcterms:created>
  <dcterms:modified xsi:type="dcterms:W3CDTF">2025-10-10T18:00:30+02:00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