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Iran odpala rakiety, Bitcoin odbija się od dna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24 czerwca 2025. Miniony tydzień przyniósł wydarzenia, które wstrząsnęły globalnymi rynkami finansowymi i światem kryptowalut. W najnowszym odcinku programu Kwadrans z Kangą prowadzący Sławek Zawadzki i Łukasz Żeligowski komentowali eskalację konfliktu Iran–USA, przełomową decyzję Rezerwy Federalnej oraz historyczne zwycięstwo Kangi nad polskim nadzorem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KWADRANS Z KANGĄ – cały odcinek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Konflikt na Bliskim Wschodzie po raz kolejny udowodnił, jak silnie geopolityka wpływa na rynek aktywów cyfrowych. Iran wystrzelił kilkanaście rakiet w kierunku amerykańskich baz wojskowych, jednak – jak ocenił Żeligowski – cała akcja miała głównie charakter propagandowy.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Iran wysłał kilkanaście rakiet, ale to był spektakl dla telewizji. Amerykanie wiedzieli o ataku z wyprzedzeniem</w:t>
      </w:r>
      <w:r>
        <w:rPr>
          <w:rFonts w:ascii="calibri" w:hAnsi="calibri" w:eastAsia="calibri" w:cs="calibri"/>
          <w:sz w:val="24"/>
          <w:szCs w:val="24"/>
        </w:rPr>
        <w:t xml:space="preserve"> – zaznaczył współtwórca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w reakcji na wydarzenia gwałtownie spadł do poziomu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98 000 USD</w:t>
      </w:r>
      <w:r>
        <w:rPr>
          <w:rFonts w:ascii="calibri" w:hAnsi="calibri" w:eastAsia="calibri" w:cs="calibri"/>
          <w:sz w:val="24"/>
          <w:szCs w:val="24"/>
        </w:rPr>
        <w:t xml:space="preserve">, by równie szybko się odbić po tym, jak prezydent Donald Trump ogłosił zakończenie działań wojennych.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Rynek w końcu odetchnął, ale zaciągnięta płynność może oznaczać większą zmienność w najbliższym czasie</w:t>
      </w:r>
      <w:r>
        <w:rPr>
          <w:rFonts w:ascii="calibri" w:hAnsi="calibri" w:eastAsia="calibri" w:cs="calibri"/>
          <w:sz w:val="24"/>
          <w:szCs w:val="24"/>
        </w:rPr>
        <w:t xml:space="preserve"> – dodał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wydarzeniem była decyzja amerykańskiej Rezerwy Federalnej z 22 czerwca, która zniosła wieloletnie ograniczenia zniechęcające banki do współpracy z firmami z branży krypto.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Banki dostają zielone światło. Fed w końcu zrozumiał, że nie da się zatrzymać rewolucji krypto</w:t>
      </w:r>
      <w:r>
        <w:rPr>
          <w:rFonts w:ascii="calibri" w:hAnsi="calibri" w:eastAsia="calibri" w:cs="calibri"/>
          <w:sz w:val="24"/>
          <w:szCs w:val="24"/>
        </w:rPr>
        <w:t xml:space="preserve">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prowadzących, może to otworzyć nowy etap dla rynku instytucjonalnego w Stanach Zjednoczonych.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przełom dla całej branży. Teraz banki nie muszą się bać, że współpraca z nami zaszkodzi ich reputacji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 Polsce branża krypto również ma powód do świętowania. Po trwającym od 2022 roku sporze sądowym,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odniosła zwycięstwo nad Komisją Nadzoru Finansowego. Sąd administracyjny oddalił skargę KNF dotyczącą wpisania giełdy na listę ostrzeżeń.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Sąd oddalił skargę KNF. To dowód, że nadzór nie zawsze ma rację</w:t>
      </w:r>
      <w:r>
        <w:rPr>
          <w:rFonts w:ascii="calibri" w:hAnsi="calibri" w:eastAsia="calibri" w:cs="calibri"/>
          <w:sz w:val="24"/>
          <w:szCs w:val="24"/>
        </w:rPr>
        <w:t xml:space="preserve"> – ocenił Żeligowski.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 wygrana to ważny sygnał dla całego rynku w Polsce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dalej? Prowadzący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Kwadransa z Kangą</w:t>
      </w:r>
      <w:r>
        <w:rPr>
          <w:rFonts w:ascii="calibri" w:hAnsi="calibri" w:eastAsia="calibri" w:cs="calibri"/>
          <w:sz w:val="24"/>
          <w:szCs w:val="24"/>
        </w:rPr>
        <w:t xml:space="preserve"> wskazują, że kolejne tygodnie mogą przynieść nowe rynkowe rewolucje. Texas rozważa zakup Bitcoina do rezerw stanowych, Metaplanet potraja plany zakupowe, a Michael Saylor prognozuje, że za 21 lat Bitcoin może osiągnąć wartość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 milionów dolarów</w:t>
      </w:r>
      <w:r>
        <w:rPr>
          <w:rFonts w:ascii="calibri" w:hAnsi="calibri" w:eastAsia="calibri" w:cs="calibri"/>
          <w:sz w:val="24"/>
          <w:szCs w:val="24"/>
        </w:rPr>
        <w:t xml:space="preserve">. W międzyczasie Norwegia zaczyna ograniczać dostęp do energii dla górników kryptowalut, stawiając na wsparcie rozwoju sztucznej inteligencji.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może być początek szerszego trendu, który uderzy w górników w całej Europie</w:t>
      </w:r>
      <w:r>
        <w:rPr>
          <w:rFonts w:ascii="calibri" w:hAnsi="calibri" w:eastAsia="calibri" w:cs="calibri"/>
          <w:sz w:val="24"/>
          <w:szCs w:val="24"/>
        </w:rPr>
        <w:t xml:space="preserve"> – ostrzegł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napięć i niepewności, Bitcoin po raz kolejny potwierdził swoją pozycję jako najważniejsze cyfrowe aktywo w czasach globalnych kryzysów.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znów udowodnił, że jest cyfrowym złotem w czasach kryzysu</w:t>
      </w:r>
      <w:r>
        <w:rPr>
          <w:rFonts w:ascii="calibri" w:hAnsi="calibri" w:eastAsia="calibri" w:cs="calibri"/>
          <w:sz w:val="24"/>
          <w:szCs w:val="24"/>
        </w:rPr>
        <w:t xml:space="preserve"> – podsumowali zgodnie Zawadzki i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pnKfeITK28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2025-10-14T17:16:40+02:00</dcterms:created>
  <dcterms:modified xsi:type="dcterms:W3CDTF">2025-10-14T17:16:40+02:00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