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na fali – ETF-y notują historyczne szczyty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27 maja 2025 r. – W 255. wydaniu „Kwadransa z Kangą” prowadzący skupili się na rekordowych wynikach funduszy ETF opartych na Bitcoinie. Skarbce ETF-ów notują historyczne poziomy – tylko jeden dzień w maju odnotowano niewielki odpływ środków, a dominacja funduszu BlackRock utrzymuje się bez zakłóceń. Rynek zareagował entuzjastycznie – cena BTC konsoliduje tuż pod ATH, a inwestorzy obserwują sygnały takie jak Złoty Krzyż (50-dniowa średnia krocząca przebija 200-dniową), który w przeszłości często zapowiadał dalsze wzrosty.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wszystko jednak jest tak jednoznaczne. Analitycy zauważają dywergencję – podczas gdy cena BTC rośnie, wskaźnik RSI maleje. Historycznie ten układ mimo wszystko okazywał się... byczym sygnałem.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Trump stracił siłę rażenia? bitcoin coraz bardziej niezależny od polityki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kiedyś każde słowo Donalda Trumpa wpływało na kurs Bitcoina, dziś widać wyraźne rozdzielenie rynków od polityki. </w:t>
      </w:r>
      <w:r>
        <w:rPr>
          <w:rFonts w:ascii="calibri" w:hAnsi="calibri" w:eastAsia="calibri" w:cs="calibri"/>
          <w:sz w:val="24"/>
          <w:szCs w:val="24"/>
          <w:b/>
        </w:rPr>
        <w:t xml:space="preserve">Nawet ostrzeżenia byłego prezydenta wobec Rosji nie spowodowały widocznych zmian kursowych.</w:t>
      </w:r>
      <w:r>
        <w:rPr>
          <w:rFonts w:ascii="calibri" w:hAnsi="calibri" w:eastAsia="calibri" w:cs="calibri"/>
          <w:sz w:val="24"/>
          <w:szCs w:val="24"/>
        </w:rPr>
        <w:t xml:space="preserve"> Zdaniem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znak, że siła „Trump-effect” słabnie, a inwestorzy przestają reagować emocjonalnie na polityczne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tle jednak dzieje się coś intrygującego</w:t>
      </w:r>
      <w:r>
        <w:rPr>
          <w:rFonts w:ascii="calibri" w:hAnsi="calibri" w:eastAsia="calibri" w:cs="calibri"/>
          <w:sz w:val="24"/>
          <w:szCs w:val="24"/>
        </w:rPr>
        <w:t xml:space="preserve"> – Trump Media Technology Group, powiązana z byłym prezydentem, ma gromadzić fundusze na zakup Bitcoina. Celem ma być zebranie aż 3 miliardów USD. </w:t>
      </w:r>
      <w:r>
        <w:rPr>
          <w:rFonts w:ascii="calibri" w:hAnsi="calibri" w:eastAsia="calibri" w:cs="calibri"/>
          <w:sz w:val="24"/>
          <w:szCs w:val="24"/>
          <w:b/>
        </w:rPr>
        <w:t xml:space="preserve">Choć oficjalne źródła temu zaprzeczają, rynek spekuluje, że Trump chce powtórzyć strategię Michaela Saylora.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nadchodzi wojna o stablecoiny? USA szykują nowe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regulacji w USA najwięcej emocji budzi temat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prawo zakłada, że muszą mieć one pełne pokrycie – i to nie w zmiennych aktywach jak Bitcoin, ale w bezpiecznych, stabilnych instrumentach finansowych.</w:t>
      </w:r>
      <w:r>
        <w:rPr>
          <w:rFonts w:ascii="calibri" w:hAnsi="calibri" w:eastAsia="calibri" w:cs="calibri"/>
          <w:sz w:val="24"/>
          <w:szCs w:val="24"/>
        </w:rPr>
        <w:t xml:space="preserve"> To uderza bezpośrednio w Tethera (USDT) – króla stablecoinów.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Równolegle pojawiają się informacje, że największe amerykańskie banki (JP Morgan, Wells Fargo, CitiGroup) pracują nad wspólnym stablecoinem.</w:t>
      </w:r>
      <w:r>
        <w:rPr>
          <w:rFonts w:ascii="calibri" w:hAnsi="calibri" w:eastAsia="calibri" w:cs="calibri"/>
          <w:sz w:val="24"/>
          <w:szCs w:val="24"/>
        </w:rPr>
        <w:t xml:space="preserve"> Mówimy o możliwej rewolucji – narodziny „bankowego stablecoina” mogą całkowicie zmienić układ sił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zdominowany przez USDT, solana zaskakuje – czy polygon odchodzi w cień?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sporo uwagi poświęcono alternatywnym blockchainom. </w:t>
      </w:r>
      <w:r>
        <w:rPr>
          <w:rFonts w:ascii="calibri" w:hAnsi="calibri" w:eastAsia="calibri" w:cs="calibri"/>
          <w:sz w:val="24"/>
          <w:szCs w:val="24"/>
          <w:b/>
        </w:rPr>
        <w:t xml:space="preserve">Tron stał się niemal wyłącznie kanałem przesyłu dla stablecoinów – aż 99% jego kapitalizacji stanowi USDT.</w:t>
      </w:r>
      <w:r>
        <w:rPr>
          <w:rFonts w:ascii="calibri" w:hAnsi="calibri" w:eastAsia="calibri" w:cs="calibri"/>
          <w:sz w:val="24"/>
          <w:szCs w:val="24"/>
        </w:rPr>
        <w:t xml:space="preserve"> To rekord, który pokazuje, że Tron pełni dziś funkcję „cyfrowego SWIFT-a”.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Solana zyskuje na znaczeniu. </w:t>
      </w:r>
      <w:r>
        <w:rPr>
          <w:rFonts w:ascii="calibri" w:hAnsi="calibri" w:eastAsia="calibri" w:cs="calibri"/>
          <w:sz w:val="24"/>
          <w:szCs w:val="24"/>
          <w:b/>
        </w:rPr>
        <w:t xml:space="preserve">Cathie Wood z ARK Invest określiła ją jako projekt, który „przeszedł test kruchości” – przetrwała kryzys Luny, upadek FTX i nadal rozwija się technologicznie.</w:t>
      </w:r>
      <w:r>
        <w:rPr>
          <w:rFonts w:ascii="calibri" w:hAnsi="calibri" w:eastAsia="calibri" w:cs="calibri"/>
          <w:sz w:val="24"/>
          <w:szCs w:val="24"/>
        </w:rPr>
        <w:t xml:space="preserve"> Rosnące zainteresowanie programistów czyni z niej lidera nowej generacji blockchainów.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Polygon (MATIC) zdaje się tracić na znaczeniu – </w:t>
      </w:r>
      <w:r>
        <w:rPr>
          <w:rFonts w:ascii="calibri" w:hAnsi="calibri" w:eastAsia="calibri" w:cs="calibri"/>
          <w:sz w:val="24"/>
          <w:szCs w:val="24"/>
          <w:b/>
        </w:rPr>
        <w:t xml:space="preserve">projekt, który niegdyś rozwiązywał kluczowe problemy Ethereum, obecnie zmaga się z brakiem innowacji i odpływem założycieli.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kryptoelektorat na wagę złota – 4 miliony Polaków mogą przesądzić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nadchodzących wyborów prezydenckich w Polsce pojawił się temat tzw. „kryptoelektoratu”.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ponad 4 miliony Polaków miało kontakt z kryptowalutami – to więcej niż liczba inwestorów giełdowych.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sztabów planuje podpisać „Deklarację Krypto”, gwarantującą weto wobec szkodliwych ustaw.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prowadzących, kandydat, który „mrugnie” do społeczności krypto, może zdobyć decydujące głosy.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od lat pozostają liderami fintechu</w:t>
      </w:r>
      <w:r>
        <w:rPr>
          <w:rFonts w:ascii="calibri" w:hAnsi="calibri" w:eastAsia="calibri" w:cs="calibri"/>
          <w:sz w:val="24"/>
          <w:szCs w:val="24"/>
        </w:rPr>
        <w:t xml:space="preserve"> – od płatności zbliżeniowych po sukces BLIKA. „Krypto” może być kolejnym naturalnym etapem tego trendu.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nie tylko inwestuje – wspiera, edukuje i integruje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aspektów społecznych.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prowadzi zbiórkę na tablet komunikacyjny dla chłopca z niepełnosprawnością</w:t>
      </w:r>
      <w:r>
        <w:rPr>
          <w:rFonts w:ascii="calibri" w:hAnsi="calibri" w:eastAsia="calibri" w:cs="calibri"/>
          <w:sz w:val="24"/>
          <w:szCs w:val="24"/>
        </w:rPr>
        <w:t xml:space="preserve">, a wcześniej przekazała nowoczesny wózek innej potrzebującej osobie. To dowód, że społeczność kryptowalut to nie tylko spekulanci, ale też ludzie realnie zaangażowani w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sekcji produktowej zaprezentowano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zakupu złota i monet przez Kanga Shop za pomocą Kanga Pay.</w:t>
      </w:r>
      <w:r>
        <w:rPr>
          <w:rFonts w:ascii="calibri" w:hAnsi="calibri" w:eastAsia="calibri" w:cs="calibri"/>
          <w:sz w:val="24"/>
          <w:szCs w:val="24"/>
        </w:rPr>
        <w:t xml:space="preserve"> To krok ku łączeniu świata cyfrowego z fizycznymi aktywami – </w:t>
      </w:r>
      <w:r>
        <w:rPr>
          <w:rFonts w:ascii="calibri" w:hAnsi="calibri" w:eastAsia="calibri" w:cs="calibri"/>
          <w:sz w:val="24"/>
          <w:szCs w:val="24"/>
          <w:b/>
        </w:rPr>
        <w:t xml:space="preserve">Bitcoin i złoto mogą dziś iść ramię w ramię.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youtube.com/watch?v=WrtQIhXlhWk" TargetMode="External"/><Relationship Id="rId10" Type="http://schemas.openxmlformats.org/officeDocument/2006/relationships/hyperlink" Target="https://www.youtube.com/watch?v=WGyl-54uY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2025-11-25T05:30:00+01:00</dcterms:created>
  <dcterms:modified xsi:type="dcterms:W3CDTF">2025-11-25T05:30:00+01:00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