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USA i Chiny dochodzą do porozumienia – rynek reaguje!</w:t>
      </w:r>
    </w:p>
    <w:p>
      <w:pPr>
        <w:spacing w:before="0" w:after="500" w:line="264" w:lineRule="auto"/>
      </w:pPr>
      <w:r>
        <w:rPr>
          <w:rFonts w:ascii="calibri" w:hAnsi="calibri" w:eastAsia="calibri" w:cs="calibri"/>
          <w:sz w:val="36"/>
          <w:szCs w:val="36"/>
          <w:b/>
        </w:rPr>
        <w:t xml:space="preserve">Gdańsk,14 maja 2025 r. – Po miesiącach napięć pomiędzy Stanami Zjednoczonymi a Chinami, obie strony ogłosiły wstępne porozumienie handlowe, które natychmiast wywołało pozytywne reakcje na globalnych rynkach. Mimo że umowa ma obecnie charakter deklaracji politycznej, inwestorzy przyjęli ją jako sygnał deeskalacji długoletniego konfliktu. Eksperci komentujący sytuację w programie „Kwadrans z Kangą” podkreślili, że już sama zapowiedź zmniejszenia ceł i otwarcia na dialog gospodarczy wystarczyła, by poprawić nastroje na giełdach. „Wystarczyło parę słów z mikrofonu i myślę, że wszyscy na to czekali – że w końcu ta sytuacja się ustabilizuje” – zauważył Marcin Walkowski, wskazując na bezpośredni wpływ polityki na rynek aktywów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Bitcoin i Ethereum na fali wzrostów</w:t>
      </w:r>
    </w:p>
    <w:p>
      <w:pPr>
        <w:spacing w:before="0" w:after="300"/>
      </w:pPr>
      <w:r>
        <w:rPr>
          <w:rFonts w:ascii="calibri" w:hAnsi="calibri" w:eastAsia="calibri" w:cs="calibri"/>
          <w:sz w:val="24"/>
          <w:szCs w:val="24"/>
        </w:rPr>
        <w:t xml:space="preserve">Bitcoin przebił kolejne poziomy oporu, zbliżając się do historycznych maksimów, </w:t>
      </w:r>
      <w:r>
        <w:rPr>
          <w:rFonts w:ascii="calibri" w:hAnsi="calibri" w:eastAsia="calibri" w:cs="calibri"/>
          <w:sz w:val="24"/>
          <w:szCs w:val="24"/>
          <w:b/>
        </w:rPr>
        <w:t xml:space="preserve">natomiast Ethereum osiągnęło kapitalizację przekraczającą 308 miliardów dolarów, wyprzedzając takie firmy jak Coca-Cola (305 mld USD) i Alibaba (303 mld USD)</w:t>
      </w:r>
      <w:r>
        <w:rPr>
          <w:rFonts w:ascii="calibri" w:hAnsi="calibri" w:eastAsia="calibri" w:cs="calibri"/>
          <w:sz w:val="24"/>
          <w:szCs w:val="24"/>
        </w:rPr>
        <w:t xml:space="preserve">. – </w:t>
      </w:r>
      <w:r>
        <w:rPr>
          <w:rFonts w:ascii="calibri" w:hAnsi="calibri" w:eastAsia="calibri" w:cs="calibri"/>
          <w:sz w:val="24"/>
          <w:szCs w:val="24"/>
          <w:b/>
        </w:rPr>
        <w:t xml:space="preserve">Takie wzrosty nie są dziełem przypadku</w:t>
      </w:r>
      <w:r>
        <w:rPr>
          <w:rFonts w:ascii="calibri" w:hAnsi="calibri" w:eastAsia="calibri" w:cs="calibri"/>
          <w:sz w:val="24"/>
          <w:szCs w:val="24"/>
        </w:rPr>
        <w:t xml:space="preserve"> – komentował Kamil Żynda, podkreślając wyjątkową dynamikę rynku w ostatnich dniach. Eksperci łączą te ruchy z rosnącymi wpływami do kryptowalutowych ETF-ów i zwiększonym zaangażowaniem dużych portfeli inwestycyjnych. Zwracają przy tym uwagę na rolę mechanizmów psychologicznych i spekulacji, które mogą prowadzić do nagłych korekt.</w:t>
      </w:r>
    </w:p>
    <w:p>
      <w:pPr>
        <w:spacing w:before="0" w:after="300"/>
      </w:pPr>
      <w:r>
        <w:rPr>
          <w:rFonts w:ascii="calibri" w:hAnsi="calibri" w:eastAsia="calibri" w:cs="calibri"/>
          <w:sz w:val="24"/>
          <w:szCs w:val="24"/>
          <w:b/>
        </w:rPr>
        <w:t xml:space="preserve">Geopolityka odgrywa kluczową rolę na rynkach</w:t>
      </w:r>
    </w:p>
    <w:p>
      <w:pPr>
        <w:spacing w:before="0" w:after="300"/>
      </w:pPr>
      <w:r>
        <w:rPr>
          <w:rFonts w:ascii="calibri" w:hAnsi="calibri" w:eastAsia="calibri" w:cs="calibri"/>
          <w:sz w:val="24"/>
          <w:szCs w:val="24"/>
        </w:rPr>
        <w:t xml:space="preserve">Mimo widocznego optymizmu, komentatorzy zwracają uwagę na to, że treść porozumienia handlowego nie została jeszcze doprecyzowana. Oświadczenia Pekinu i Waszyngtonu różnią się w tonie – jedni mówią o „zawarciu porozumienia”, drudzy o „deklaracji chęci”. </w:t>
      </w:r>
      <w:r>
        <w:rPr>
          <w:rFonts w:ascii="calibri" w:hAnsi="calibri" w:eastAsia="calibri" w:cs="calibri"/>
          <w:sz w:val="24"/>
          <w:szCs w:val="24"/>
          <w:b/>
        </w:rPr>
        <w:t xml:space="preserve">To jednak nie przeszkodziło rynkom zareagować pozytywnie.</w:t>
      </w:r>
      <w:r>
        <w:rPr>
          <w:rFonts w:ascii="calibri" w:hAnsi="calibri" w:eastAsia="calibri" w:cs="calibri"/>
          <w:sz w:val="24"/>
          <w:szCs w:val="24"/>
        </w:rPr>
        <w:t xml:space="preserve"> Analitycy podkreślają, że same gesty polityczne są już odczytywane jako wyraźny sygnał złagodzenia kursu i zapowiedź możliwej normalizacji stosunków. W szczególności Chiny, które zmagają się ze spowolnieniem gospodarczym i rosnącym napięciem handlowym, mogły zyskać na wyciszeniu konfrontacyjnej retoryki. „</w:t>
      </w:r>
      <w:r>
        <w:rPr>
          <w:rFonts w:ascii="calibri" w:hAnsi="calibri" w:eastAsia="calibri" w:cs="calibri"/>
          <w:sz w:val="24"/>
          <w:szCs w:val="24"/>
          <w:b/>
        </w:rPr>
        <w:t xml:space="preserve">Myślę, że dotarło do nich, iż wojna handlowa nie jest jednostronna – jeśli popyt z USA spadnie, to chiński eksport straci</w:t>
      </w:r>
      <w:r>
        <w:rPr>
          <w:rFonts w:ascii="calibri" w:hAnsi="calibri" w:eastAsia="calibri" w:cs="calibri"/>
          <w:sz w:val="24"/>
          <w:szCs w:val="24"/>
        </w:rPr>
        <w:t xml:space="preserve">” – komentował Żynda, wskazując na potrzebę kompromisu ze strony Pekinu.</w:t>
      </w:r>
    </w:p>
    <w:p>
      <w:pPr>
        <w:spacing w:before="0" w:after="300"/>
      </w:pPr>
      <w:r>
        <w:rPr>
          <w:rFonts w:ascii="calibri" w:hAnsi="calibri" w:eastAsia="calibri" w:cs="calibri"/>
          <w:sz w:val="24"/>
          <w:szCs w:val="24"/>
          <w:b/>
        </w:rPr>
        <w:t xml:space="preserve">Technologia, dezinformacja i potrzeba regulacji</w:t>
      </w:r>
    </w:p>
    <w:p>
      <w:pPr>
        <w:spacing w:before="0" w:after="300"/>
      </w:pPr>
      <w:r>
        <w:rPr>
          <w:rFonts w:ascii="calibri" w:hAnsi="calibri" w:eastAsia="calibri" w:cs="calibri"/>
          <w:sz w:val="24"/>
          <w:szCs w:val="24"/>
        </w:rPr>
        <w:t xml:space="preserve">Eksperci zauważyli również, że technologia sztucznej inteligencji coraz silniej wkracza w świat finansów, handlu i mediów, ale jednocześnie generuje nowe ryzyka – zwłaszcza w kontekście dezinformacji i deepfake’ów. AI wykorzystywana do analizy rynku może stać się narzędziem zarówno dla profesjonalnych inwestorów, jak i oszustów, a dynamiczny rozwój tych narzędzi stawia wyzwania przed systemami prawnymi i społecznymi. W tym kontekście pojawił się także wątek regulacji rynku kryptowalut. </w:t>
      </w:r>
      <w:r>
        <w:rPr>
          <w:rFonts w:ascii="calibri" w:hAnsi="calibri" w:eastAsia="calibri" w:cs="calibri"/>
          <w:sz w:val="24"/>
          <w:szCs w:val="24"/>
          <w:b/>
        </w:rPr>
        <w:t xml:space="preserve">Z jednej strony regulacje mogą poprawić bezpieczeństwo użytkowników i ograniczyć liczbę scamów, z drugiej jednak budzą obawy o zachowanie pierwotnych wartości kryptowalut, takich jak decentralizacja i niezależność od państwowych instytucji.</w:t>
      </w:r>
    </w:p>
    <w:p>
      <w:pPr>
        <w:spacing w:before="0" w:after="300"/>
      </w:pPr>
      <w:r>
        <w:rPr>
          <w:rFonts w:ascii="calibri" w:hAnsi="calibri" w:eastAsia="calibri" w:cs="calibri"/>
          <w:sz w:val="24"/>
          <w:szCs w:val="24"/>
          <w:b/>
        </w:rPr>
        <w:t xml:space="preserve">Odpowiedzialność społeczna środowiska krypto</w:t>
      </w:r>
    </w:p>
    <w:p>
      <w:pPr>
        <w:spacing w:before="0" w:after="300"/>
      </w:pPr>
      <w:r>
        <w:rPr>
          <w:rFonts w:ascii="calibri" w:hAnsi="calibri" w:eastAsia="calibri" w:cs="calibri"/>
          <w:sz w:val="24"/>
          <w:szCs w:val="24"/>
        </w:rPr>
        <w:t xml:space="preserve">Eksperci </w:t>
      </w:r>
      <w:hyperlink r:id="rId7" w:history="1">
        <w:r>
          <w:rPr>
            <w:rFonts w:ascii="calibri" w:hAnsi="calibri" w:eastAsia="calibri" w:cs="calibri"/>
            <w:color w:val="0000FF"/>
            <w:sz w:val="24"/>
            <w:szCs w:val="24"/>
            <w:u w:val="single"/>
          </w:rPr>
          <w:t xml:space="preserve">Kangi</w:t>
        </w:r>
      </w:hyperlink>
      <w:r>
        <w:rPr>
          <w:rFonts w:ascii="calibri" w:hAnsi="calibri" w:eastAsia="calibri" w:cs="calibri"/>
          <w:sz w:val="24"/>
          <w:szCs w:val="24"/>
        </w:rPr>
        <w:t xml:space="preserve"> przypomnieli także o społecznym aspekcie działań środowiska krypto, wskazując, że mimo silnego nacisku na spekulacje i inwestycje, świat kryptowalut potrafi również jednoczyć się wokół inicjatyw pomocowych. </w:t>
      </w:r>
      <w:r>
        <w:rPr>
          <w:rFonts w:ascii="calibri" w:hAnsi="calibri" w:eastAsia="calibri" w:cs="calibri"/>
          <w:sz w:val="24"/>
          <w:szCs w:val="24"/>
          <w:b/>
        </w:rPr>
        <w:t xml:space="preserve">Trwająca zbiórka na rzecz Samuela, realizowana przez </w:t>
      </w:r>
      <w:hyperlink r:id="rId8" w:history="1">
        <w:r>
          <w:rPr>
            <w:rFonts w:ascii="calibri" w:hAnsi="calibri" w:eastAsia="calibri" w:cs="calibri"/>
            <w:color w:val="0000FF"/>
            <w:sz w:val="24"/>
            <w:szCs w:val="24"/>
            <w:u w:val="single"/>
          </w:rPr>
          <w:t xml:space="preserve">Fundację Kanga</w:t>
        </w:r>
      </w:hyperlink>
      <w:r>
        <w:rPr>
          <w:rFonts w:ascii="calibri" w:hAnsi="calibri" w:eastAsia="calibri" w:cs="calibri"/>
          <w:sz w:val="24"/>
          <w:szCs w:val="24"/>
          <w:b/>
        </w:rPr>
        <w:t xml:space="preserve">, pozwoliła pozyskać już 62% potrzebnej kwoty pokazując, że społeczność potrafi działać solidarnie i odpowiedzialnie oraz udowadniając, iż kryptowaluty mogą służyć nie tylko zyskom, ale też realnej pomocy.</w:t>
      </w:r>
    </w:p>
    <w:p>
      <w:pPr>
        <w:spacing w:before="0" w:after="300"/>
      </w:pPr>
      <w:r>
        <w:rPr>
          <w:rFonts w:ascii="calibri" w:hAnsi="calibri" w:eastAsia="calibri" w:cs="calibri"/>
          <w:sz w:val="24"/>
          <w:szCs w:val="24"/>
        </w:rPr>
        <w:t xml:space="preserve">Cały materiał możesz zobaczyć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kanga.exchange/fundacja" TargetMode="External"/><Relationship Id="rId9" Type="http://schemas.openxmlformats.org/officeDocument/2006/relationships/hyperlink" Target="https://www.youtube.com/watch?v=TylZ-5zCh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2026-05-18T20:43:11+02:00</dcterms:created>
  <dcterms:modified xsi:type="dcterms:W3CDTF">2026-05-18T20:43:11+02:00</dcterms:modified>
</cp:coreProperties>
</file>

<file path=docProps/custom.xml><?xml version="1.0" encoding="utf-8"?>
<Properties xmlns="http://schemas.openxmlformats.org/officeDocument/2006/custom-properties" xmlns:vt="http://schemas.openxmlformats.org/officeDocument/2006/docPropsVTypes"/>
</file>