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IEO Sugar Kingdom Odyssey na Kandze</w:t>
      </w:r>
    </w:p>
    <w:p>
      <w:pPr>
        <w:spacing w:before="0" w:after="500" w:line="264" w:lineRule="auto"/>
      </w:pPr>
      <w:r>
        <w:rPr>
          <w:rFonts w:ascii="calibri" w:hAnsi="calibri" w:eastAsia="calibri" w:cs="calibri"/>
          <w:sz w:val="36"/>
          <w:szCs w:val="36"/>
          <w:b/>
        </w:rPr>
        <w:t xml:space="preserve">13 marca na platformie Kanga odbyło się IEO projektu Sugar Kingdom Odyssey. Wydarzenie to jest częścią strategii mającej na celu zainteresowanie inwestorów oraz entuzjastów gier Web3. Sugar Kingdom Odyssey (SKO) wyróżnia się integracją tokenów BRC-20 oraz altcoinów, co pozwala na łatwiejszą współpracę z innymi projektami w ekosystemie gier.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Sugar Kingdom Odyssey prezentuje model ekonomiczny oparty na zrównoważonym obiegu zamkniętym, co odbiega od tradycyjnych modeli „play-to-earn”. Projekt współpracuje z ponad 40 innymi inicjatywami, takimi jak DeChat, Patex, i Unilend Finance, i planuje dalsze IDO na platformach Red Kite i Bullperks.</w:t>
      </w:r>
    </w:p>
    <w:p>
      <w:pPr>
        <w:spacing w:before="0" w:after="500" w:line="264" w:lineRule="auto"/>
      </w:pPr>
      <w:r>
        <w:rPr>
          <w:rFonts w:ascii="calibri" w:hAnsi="calibri" w:eastAsia="calibri" w:cs="calibri"/>
          <w:sz w:val="36"/>
          <w:szCs w:val="36"/>
          <w:b/>
        </w:rPr>
        <w:t xml:space="preserve">Informacje o tokenie SKO</w:t>
      </w:r>
    </w:p>
    <w:p>
      <w:pPr>
        <w:spacing w:before="0" w:after="300"/>
      </w:pPr>
      <w:r>
        <w:rPr>
          <w:rFonts w:ascii="calibri" w:hAnsi="calibri" w:eastAsia="calibri" w:cs="calibri"/>
          <w:sz w:val="24"/>
          <w:szCs w:val="24"/>
        </w:rPr>
        <w:t xml:space="preserve">Token SKO ma za zadanie ułatwić dostęp do projektów o niskiej kapitalizacji rynkowej, oferując możliwość stakowania i otrzymywania cotygodniowych airdropów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Symbol: SKO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Całkowita podaż: 100 000 000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Cena: $0.05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Waluta: USDT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BSC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Alokacja początkowa: $75 000, z możliwością zwiększenia do $100 000 w trakcie IEO</w:t>
      </w:r>
    </w:p>
    <w:p>
      <w:pPr>
        <w:spacing w:before="0" w:after="300"/>
      </w:pPr>
      <w:r>
        <w:rPr>
          <w:rFonts w:ascii="calibri" w:hAnsi="calibri" w:eastAsia="calibri" w:cs="calibri"/>
          <w:sz w:val="24"/>
          <w:szCs w:val="24"/>
        </w:rPr>
        <w:t xml:space="preserve">Harmonogram IEO</w:t>
      </w:r>
    </w:p>
    <w:p>
      <w:pPr>
        <w:spacing w:before="0" w:after="300"/>
      </w:pPr>
      <w:hyperlink r:id="rId7" w:history="1">
        <w:r>
          <w:rPr>
            <w:rFonts w:ascii="calibri" w:hAnsi="calibri" w:eastAsia="calibri" w:cs="calibri"/>
            <w:color w:val="0000FF"/>
            <w:sz w:val="24"/>
            <w:szCs w:val="24"/>
            <w:u w:val="single"/>
          </w:rPr>
          <w:t xml:space="preserve">IEO </w:t>
        </w:r>
      </w:hyperlink>
      <w:r>
        <w:rPr>
          <w:rFonts w:ascii="calibri" w:hAnsi="calibri" w:eastAsia="calibri" w:cs="calibri"/>
          <w:sz w:val="24"/>
          <w:szCs w:val="24"/>
        </w:rPr>
        <w:t xml:space="preserve">tradycyjnie już odbyło się w dwóch rundach: dla stakujących tokeny KNG oraz dla wszystkich chętnych. Wszystkie przygotowane pakiety sprzedały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kanga.exchange/launchpad/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2026-05-15T08:17:47+02:00</dcterms:created>
  <dcterms:modified xsi:type="dcterms:W3CDTF">2026-05-15T08:17:47+02:00</dcterms:modified>
</cp:coreProperties>
</file>

<file path=docProps/custom.xml><?xml version="1.0" encoding="utf-8"?>
<Properties xmlns="http://schemas.openxmlformats.org/officeDocument/2006/custom-properties" xmlns:vt="http://schemas.openxmlformats.org/officeDocument/2006/docPropsVTypes"/>
</file>