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czeka na sygnał, XRP zaskakuje – co dalej z rynkiem kryptowalut?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lipca 2025, Gdańsk – Bitcoin w fazie konsolidacji, XRP bije rekordy mimo braku ETF, Ethereum zyskuje uwagę instytucji, a na platformie Kanga pojawiają się nowe funkcje jak handel futures z dźwignią 100x i narzędzie Autobuy. W najnowszym odcinku cyklu "Kwadrans z Kangą" eksperci Łukasz Żeligowski i Marcin Walkowski przeanalizowali aktualne trendy na dynamicznie zmieniającym się rynku cyfrowych aktywów.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programu szczególną uwagę poświęcono obecnej sytuacji Bitcoina, który od tygodnia utrzymuje się w przedziale cenowym 116-121 tysięcy dolarów. "Wskaźnik RSI wciąż pozostaje w byczej strefie, co sugeruje potencjał do dalszych wzrostów, choć nie można wykluczyć krótkoterminowej korekty w okolice 110 tysięcy dolarów" – zauważył Łukasz Żeligowski, wskazując na rosnące zapasy BTC na giełdach jako interesujący fenomen wart obserwacji.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XRP zaskakuje rynek – historyczne maksimum bez ETF</w:t>
      </w:r>
    </w:p>
    <w:p>
      <w:r>
        <w:rPr>
          <w:rFonts w:ascii="calibri" w:hAnsi="calibri" w:eastAsia="calibri" w:cs="calibri"/>
          <w:sz w:val="24"/>
          <w:szCs w:val="24"/>
        </w:rPr>
        <w:t xml:space="preserve"> Prawdziwą niespodzianką ostatnich dni okazał się XRP, który pomimo braku wsparcia w postaci funduszy ETF przebił swoje historyczne maksimum, osiągając poziom 3,65 dolara. „To szczególnie interesujące, gdy zestawimy to z faktem, że Ethereum, dysponujące już produktami ETF, wciąż nie zbliżyło się do swojego poprzedniego rekordu” – skomentował Żeligowski, podkreślając nieprzewidywalność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altcoinów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przyciąga instytucje – Ark Invest zmienia strategię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Ethereum eksperci zwrócili uwagę na rosnące zainteresowanie instytucji. Ark Invest podjęło decyzję o sprzedaży części akcji Coinbase'a i Robinhooda, by zwiększyć ekspozycję na fundusz związany z drugą co do wielkości kryptowalutą. „To wyraźny sygnał, że poważni gracze dostrzegają dalszy potencjał wzrostowy ETH” – stwierdził Marcin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platformie Kanga – dźwignia 100x i Autobuy</w:t>
      </w:r>
    </w:p>
    <w:p>
      <w:r>
        <w:rPr>
          <w:rFonts w:ascii="calibri" w:hAnsi="calibri" w:eastAsia="calibri" w:cs="calibri"/>
          <w:sz w:val="24"/>
          <w:szCs w:val="24"/>
        </w:rPr>
        <w:t xml:space="preserve"> W części poświęconej nowościom na platformie Kanga, prowadzący szczegółowo omówili wprowadzenie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handlu Futures z dźwignią do 100x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innowacyjne narzędzie Autobuy, które rewolucjonizuje podejście do strategii DCA. „Autobuy eliminuje problem spreadu, automatycznie wymieniając środki z przelewu bankowego na Bitcoina po aktualnej cenie rynkowej” – wyjaśnił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Genius Act – USA wprowadza przełomowe regulacje stablecoinów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regulacji, program poświęcił uwagę niedawno podpisanemu w USA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Genius Act</w:t>
      </w:r>
      <w:r>
        <w:rPr>
          <w:rFonts w:ascii="calibri" w:hAnsi="calibri" w:eastAsia="calibri" w:cs="calibri"/>
          <w:sz w:val="24"/>
          <w:szCs w:val="24"/>
        </w:rPr>
        <w:t xml:space="preserve">, który jako pierwsze federalne prawo kompleksowo reguluje rynek stablecoinów. „Wymóg pełnego zabezpieczenia rezerw to ważny krok w budowaniu zaufania do tej kategorii aktywów” – ocenili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nie odpuszcza Bitcoina – czas na narodowe wydobycie?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zabrakło też wzmianki o Salwadorze, który pomimo zobowiązań wobec MFW nie wyprzedaje swoich rezerw Bitcoin. „Planują przejść na wydobycie narodowe, co może być kolejnym etapem ich kryptowalutowej strategii” – zauważył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poświęconym trendom technologicznym, prowadzący omówili odradzający się rynek NFT, gdzie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Cryptopunks</w:t>
      </w:r>
      <w:r>
        <w:rPr>
          <w:rFonts w:ascii="calibri" w:hAnsi="calibri" w:eastAsia="calibri" w:cs="calibri"/>
          <w:sz w:val="24"/>
          <w:szCs w:val="24"/>
        </w:rPr>
        <w:t xml:space="preserve"> odnotowała spektakularną transakcję wartości 2000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oficjalnym kanale YouTube platformy, gdzie regularnie pojawiają się aktualne analizy i komentarze dotyczące rynku kryptowalut.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podcast/11-co-to-jest-altcoin-czesc-1/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www.youtube.com/watch?v=3KPW6Wh0k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2025-11-25T08:14:54+01:00</dcterms:created>
  <dcterms:modified xsi:type="dcterms:W3CDTF">2025-11-25T08:14:54+01:00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