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Bitcoin czeka na sygnał, XRP zaskakuje – co dalej z rynkiem kryptowalut?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lipca 2025, Gdańsk – Bitcoin w fazie konsolidacji, XRP bije rekordy mimo braku ETF, Ethereum zyskuje uwagę instytucji, a na platformie Kanga pojawiają się nowe funkcje jak handel futures z dźwignią 100x i narzędzie Autobuy. W najnowszym odcinku cyklu "Kwadrans z Kangą" eksperci Łukasz Żeligowski i Marcin Walkowski przeanalizowali aktualne trendy na dynamicznie zmieniającym się rynku cyfrowych aktywów.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programu szczególną uwagę poświęcono obecnej sytuacji Bitcoina, który od tygodnia utrzymuje się w przedziale cenowym 116-121 tysięcy dolarów. "Wskaźnik RSI wciąż pozostaje w byczej strefie, co sugeruje potencjał do dalszych wzrostów, choć nie można wykluczyć krótkoterminowej korekty w okolice 110 tysięcy dolarów" – zauważył Łukasz Żeligowski, wskazując na rosnące zapasy BTC na giełdach jako interesujący fenomen wart obserwacji.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XRP zaskakuje rynek – historyczne maksimum bez ETF</w:t>
      </w:r>
    </w:p>
    <w:p>
      <w:r>
        <w:rPr>
          <w:rFonts w:ascii="calibri" w:hAnsi="calibri" w:eastAsia="calibri" w:cs="calibri"/>
          <w:sz w:val="24"/>
          <w:szCs w:val="24"/>
        </w:rPr>
        <w:t xml:space="preserve"> Prawdziwą niespodzianką ostatnich dni okazał się XRP, który pomimo braku wsparcia w postaci funduszy ETF przebił swoje historyczne maksimum, osiągając poziom 3,65 dolara. „To szczególnie interesujące, gdy zestawimy to z faktem, że Ethereum, dysponujące już produktami ETF, wciąż nie zbliżyło się do swojego poprzedniego rekordu” – skomentował Żeligowski, podkreślając nieprzewidywalność rynku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altcoinów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Ethereum przyciąga instytucje – Ark Invest zmienia strategię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kontekście Ethereum eksperci zwrócili uwagę na rosnące zainteresowanie instytucji. Ark Invest podjęło decyzję o sprzedaży części akcji Coinbase'a i Robinhooda, by zwiększyć ekspozycję na fundusz związany z drugą co do wielkości kryptowalutą. „To wyraźny sygnał, że poważni gracze dostrzegają dalszy potencjał wzrostowy ETH” – stwierdził Marcin Walkowski.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na platformie Kanga – dźwignia 100x i Autobuy</w:t>
      </w:r>
    </w:p>
    <w:p>
      <w:r>
        <w:rPr>
          <w:rFonts w:ascii="calibri" w:hAnsi="calibri" w:eastAsia="calibri" w:cs="calibri"/>
          <w:sz w:val="24"/>
          <w:szCs w:val="24"/>
        </w:rPr>
        <w:t xml:space="preserve"> W części poświęconej nowościom na platformie Kanga, prowadzący szczegółowo omówili wprowadzenie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handlu Futures z dźwignią do 100x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innowacyjne narzędzie Autobuy, które rewolucjonizuje podejście do strategii DCA. „Autobuy eliminuje problem spreadu, automatycznie wymieniając środki z przelewu bankowego na Bitcoina po aktualnej cenie rynkowej” – wyjaśnił Walkowski.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Genius Act – USA wprowadza przełomowe regulacje stablecoinów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kontekście regulacji, program poświęcił uwagę niedawno podpisanemu w USA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Genius Act</w:t>
      </w:r>
      <w:r>
        <w:rPr>
          <w:rFonts w:ascii="calibri" w:hAnsi="calibri" w:eastAsia="calibri" w:cs="calibri"/>
          <w:sz w:val="24"/>
          <w:szCs w:val="24"/>
        </w:rPr>
        <w:t xml:space="preserve">, który jako pierwsze federalne prawo kompleksowo reguluje rynek stablecoinów. „Wymóg pełnego zabezpieczenia rezerw to ważny krok w budowaniu zaufania do tej kategorii aktywów” – ocenili eksperci.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Salwador nie odpuszcza Bitcoina – czas na narodowe wydobycie?</w:t>
      </w:r>
    </w:p>
    <w:p>
      <w:r>
        <w:rPr>
          <w:rFonts w:ascii="calibri" w:hAnsi="calibri" w:eastAsia="calibri" w:cs="calibri"/>
          <w:sz w:val="24"/>
          <w:szCs w:val="24"/>
        </w:rPr>
        <w:t xml:space="preserve"> Nie zabrakło też wzmianki o Salwadorze, który pomimo zobowiązań wobec MFW nie wyprzedaje swoich rezerw Bitcoin. „Planują przejść na wydobycie narodowe, co może być kolejnym etapem ich kryptowalutowej strategii” – zauważył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segmencie poświęconym trendom technologicznym, prowadzący omówili odradzający się rynek NFT, gdzie kolekcja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Cryptopunks</w:t>
      </w:r>
      <w:r>
        <w:rPr>
          <w:rFonts w:ascii="calibri" w:hAnsi="calibri" w:eastAsia="calibri" w:cs="calibri"/>
          <w:sz w:val="24"/>
          <w:szCs w:val="24"/>
        </w:rPr>
        <w:t xml:space="preserve"> odnotowała spektakularną transakcję wartości 2000 ETH.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odcinek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„Kwadransa z Kangą”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na oficjalnym kanale YouTube platformy, gdzie regularnie pojawiają się aktualne analizy i komentarze dotyczące rynku kryptowalut.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university/podcast/11-co-to-jest-altcoin-czesc-1/" TargetMode="External"/><Relationship Id="rId8" Type="http://schemas.openxmlformats.org/officeDocument/2006/relationships/hyperlink" Target="https://kanga.exchange/pl/futures-101-przewodnik-krok-po-kroku" TargetMode="External"/><Relationship Id="rId9" Type="http://schemas.openxmlformats.org/officeDocument/2006/relationships/hyperlink" Target="https://www.youtube.com/watch?v=3KPW6Wh0kG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2026-08-27T17:47:33+02:00</dcterms:created>
  <dcterms:modified xsi:type="dcterms:W3CDTF">2026-08-27T17:47:33+02:00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