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Exchange: „Apel branży krypto nie jest dezinformacją, lecz głosem w sprawie konkurencyjności polskiej gospodarki”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wypowiedzi wiceministra finansów Juranda Dropa, który podczas konferencji Future Finance Summit w Warszawie stwierdził, że wokół ustawy o rynku kryptowalut „widzimy dezinformację, mającą skłonić prezydenta do weta”, przedstawiciele branży kryptoaktywów podkreślają, że ich działania mają charakter merytoryczny i propaństwowy.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o weto ustawy, podpisany przez liderów sektora – w tym Kanga Exchange, Next Block Expo oraz Izbę Gospodarczą Blockchain i Nowych Technologii – nie był wymierzony w samą ideę regulacji, lecz w sposób, w jaki Polska implementuje unijne przepisy MiCA. Zdaniem ekspertów, nadmierne obciążenia administracyjne i sankcje wprowadzone w krajowej ustawie mogą zahamować rozwój rodzimych przedsiębiorstw i doprowadzić do ich marginalizacji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pełnym szacunkiem dla procesu legislacyjnego i pracy Ministerstwa Finansów, chcemy podkreślić, że nasz apel nie miał nic wspólnego z dezinformacją ani z próbą blokowania wdrożenia MiCA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środowiska krypto w Polsce jest stworzenie takich warunków prawnych, które pozwolą krajowym firmom działać zgodnie z europejskimi regulacjami, na równych zasadach z podmiotami zagranicznymi.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Zawadzki, sama potrzeba wdrożenia MiCA nie jest kwestionowana przez branżę. Problemem jest jednak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goldplating</w:t>
      </w:r>
      <w:r>
        <w:rPr>
          <w:rFonts w:ascii="calibri" w:hAnsi="calibri" w:eastAsia="calibri" w:cs="calibri"/>
          <w:sz w:val="24"/>
          <w:szCs w:val="24"/>
        </w:rPr>
        <w:t xml:space="preserve"> – czyli wprowadzanie do krajowego prawa zapisów wykraczających poza ramy rozporządzenia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firmy z polskim kapitałem będą musiały spełnić znacznie bardziej restrykcyjne wymogi niż ich konkurenci z innych krajów Unii. W efekcie zagraniczne podmioty będą mogły oferować swoje usługi w Polsce, nie ponosząc realnych kosztów i ryzyka biznesowego </w:t>
      </w:r>
      <w:r>
        <w:rPr>
          <w:rFonts w:ascii="calibri" w:hAnsi="calibri" w:eastAsia="calibri" w:cs="calibri"/>
          <w:sz w:val="24"/>
          <w:szCs w:val="24"/>
        </w:rPr>
        <w:t xml:space="preserve">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podkreśla, że apel branży jest wyrazem troski o polską gospodarkę cyfrową i konkurencyjność kraju w sektorze technologii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wspólnym celem jest stabilne, bezpieczne i transparentne otoczenie regulacyjne</w:t>
      </w:r>
      <w:r>
        <w:rPr>
          <w:rFonts w:ascii="calibri" w:hAnsi="calibri" w:eastAsia="calibri" w:cs="calibri"/>
          <w:sz w:val="24"/>
          <w:szCs w:val="24"/>
        </w:rPr>
        <w:t xml:space="preserve"> – mówi Zawadzki.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współpraca między instytucjami publicznymi a branżą pozwoli osiągnąć rozwiązania korzystne zarówno dla państwa, jak i dla obywateli.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2026-04-27T02:28:50+02:00</dcterms:created>
  <dcterms:modified xsi:type="dcterms:W3CDTF">2026-04-27T02:28:50+02:00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