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Kanga Exchange: „Apel branży krypto nie jest dezinformacją, lecz głosem w sprawie konkurencyjności polskiej gospodarki”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odpowiedzi na wypowiedzi wiceministra finansów Juranda Dropa, który podczas konferencji Future Finance Summit w Warszawie stwierdził, że wokół ustawy o rynku kryptowalut „widzimy dezinformację, mającą skłonić prezydenta do weta”, przedstawiciele branży kryptoaktywów podkreślają, że ich działania mają charakter merytoryczny i propaństwowy.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Apel o weto ustawy, podpisany przez liderów sektora – w tym Kanga Exchange, Next Block Expo oraz Izbę Gospodarczą Blockchain i Nowych Technologii – nie był wymierzony w samą ideę regulacji, lecz w sposób, w jaki Polska implementuje unijne przepisy MiCA. Zdaniem ekspertów, nadmierne obciążenia administracyjne i sankcje wprowadzone w krajowej ustawie mogą zahamować rozwój rodzimych przedsiębiorstw i doprowadzić do ich marginalizacji na rynku europejskim.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pełnym szacunkiem dla procesu legislacyjnego i pracy Ministerstwa Finansów, chcemy podkreślić, że nasz apel nie miał nic wspólnego z dezinformacją ani z próbą blokowania wdrożenia MiCA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Sławek Zawadzki, Co-CEO Kanga Exchange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Celem środowiska krypto w Polsce jest stworzenie takich warunków prawnych, które pozwolą krajowym firmom działać zgodnie z europejskimi regulacjami, na równych zasadach z podmiotami zagranicznymi.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Zawadzki, sama potrzeba wdrożenia MiCA nie jest kwestionowana przez branżę. Problemem jest jednak tzw.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goldplating</w:t>
      </w:r>
      <w:r>
        <w:rPr>
          <w:rFonts w:ascii="calibri" w:hAnsi="calibri" w:eastAsia="calibri" w:cs="calibri"/>
          <w:sz w:val="24"/>
          <w:szCs w:val="24"/>
        </w:rPr>
        <w:t xml:space="preserve"> – czyli wprowadzanie do krajowego prawa zapisów wykraczających poza ramy rozporządzenia unijnego.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obecnym kształcie ustawa oznacza, że firmy z polskim kapitałem będą musiały spełnić znacznie bardziej restrykcyjne wymogi niż ich konkurenci z innych krajów Unii. W efekcie zagraniczne podmioty będą mogły oferować swoje usługi w Polsce, nie ponosząc realnych kosztów i ryzyka biznesowego </w:t>
      </w:r>
      <w:r>
        <w:rPr>
          <w:rFonts w:ascii="calibri" w:hAnsi="calibri" w:eastAsia="calibri" w:cs="calibri"/>
          <w:sz w:val="24"/>
          <w:szCs w:val="24"/>
        </w:rPr>
        <w:t xml:space="preserve">– dodaje Zawadzki.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Kanga Exchange podkreśla, że apel branży jest wyrazem troski o polską gospodarkę cyfrową i konkurencyjność kraju w sektorze technologii finansowych.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Naszym wspólnym celem jest stabilne, bezpieczne i transparentne otoczenie regulacyjne</w:t>
      </w:r>
      <w:r>
        <w:rPr>
          <w:rFonts w:ascii="calibri" w:hAnsi="calibri" w:eastAsia="calibri" w:cs="calibri"/>
          <w:sz w:val="24"/>
          <w:szCs w:val="24"/>
        </w:rPr>
        <w:t xml:space="preserve"> – mówi Zawadzki.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Wierzymy, że współpraca między instytucjami publicznymi a branżą pozwoli osiągnąć rozwiązania korzystne zarówno dla państwa, jak i dla obywateli.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2026-10-08T19:31:18+02:00</dcterms:created>
  <dcterms:modified xsi:type="dcterms:W3CDTF">2026-10-08T19:31:18+02:00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