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zostanie europejskim liderem innowacji czy odda rynek zagranicy? Decyzja prezydenta zapadnie najpóźniej do 10 grudnia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kryptoakty­wów wchodzi w najważniejszą fazę oczekiwania na decyzję Prezydenta RP dotyczącą ustawy o rynku kryptoaktywów. Zgodnie z przepisami Prezydent ma 21 dni na podjęcie decyzji od momentu przedstawienia ustawy. Dokument trafił do Karola Nawrockiego 12 listopada, ale — jak wskazują prawnicy — sama czynność przedstawienia jest techniczna i nie musi odbyć się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Najwcześniejszy możliwy termin decyzji to 3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jeśli formalne przedstawienie nastąpiło kilka dni po 12 listopada, termin może przesunąć się nawet na 7–10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Prezydent może podpisać ustawę, zawetować ją lub skierować do Trybunału Konstytucyjnego (choć ten trzeci scenariusz jest oceniany jako mało prawdopodobny).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czeka więc na decyzję w oknie czasowym </w:t>
      </w:r>
      <w:r>
        <w:rPr>
          <w:rFonts w:ascii="calibri" w:hAnsi="calibri" w:eastAsia="calibri" w:cs="calibri"/>
          <w:sz w:val="24"/>
          <w:szCs w:val="24"/>
          <w:b/>
        </w:rPr>
        <w:t xml:space="preserve">od dzisiaj do 3 lub maksymalnie 10 grudnia</w:t>
      </w:r>
      <w:r>
        <w:rPr>
          <w:rFonts w:ascii="calibri" w:hAnsi="calibri" w:eastAsia="calibri" w:cs="calibri"/>
          <w:sz w:val="24"/>
          <w:szCs w:val="24"/>
        </w:rPr>
        <w:t xml:space="preserve">, co kończy okres legislacyjnej niepewności trwający od momentu przyjęcia ustawy przez Sejm 26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krajową implementację unijnego rozporządzenia MiCA, ale – według licznych przedstawicieli branży – wykracza poza jego ramy, dodając dodatkowe procedury, sankcje i wymogi administracyjne. W efekcie firmy działające w sektorze kryptowalut oczekują, czy Prezydent zdecyduje się ustawę podpisać, odesłać do Trybunału Konstytucyjnego lub zawetować.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będzie miała wpływ zarówno na krajowych przedsiębiorców, jak i na sposób, w jaki globalne podmioty będą konstruować swoją obecność na polskim rynku.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–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 jest spór o kryptowaluty, lecz o konkurencyjność polskiej gospodarki cyfrowej. Implementacja regulacji MiCA jest potrzebna i pożądana, ale powinna odbywać się w taki sposób, aby nie tworzyć nadmiernych barier administracyjnych, które uderzają przede wszystkim w lokalne firmy. Polska ma potencjał, by być ważnym centrum innowacji w regionie – jednak zbyt restrykcyjne przepisy mogą ten potencjał osłabić.”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krypto nie zniknie. Pytanie brzmi, czy pozostanie w Polsce. Jeżeli koszty i ryzyko prowadzenia działalności staną się nieproporcjonalnie wysokie, przedsiębiorcy przeniosą operacje tam, gdzie otoczenie regulacyjne jest bardziej przewidywalne, a inwestorzy zaczną korzystać z zagranicznych platform, poza nadzorem krajowych instytucji.”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podkreśla, że branża czeka na decyzję Prezydenta z nadzieją, że finał prac legislacyjnych pozwoli pogodzić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użytkowników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rozwojem polskich innowacji</w:t>
      </w:r>
      <w:r>
        <w:rPr>
          <w:rFonts w:ascii="calibri" w:hAnsi="calibri" w:eastAsia="calibri" w:cs="calibri"/>
          <w:sz w:val="24"/>
          <w:szCs w:val="24"/>
        </w:rPr>
        <w:t xml:space="preserve">, zamiast faworyzować zagranicznych graczy posiadających licencje w innych krajach 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2026-01-15T03:00:19+01:00</dcterms:created>
  <dcterms:modified xsi:type="dcterms:W3CDTF">2026-01-15T03:00:19+01:00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